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A" w:rsidRDefault="000D76EA" w:rsidP="00515586">
      <w:pPr>
        <w:jc w:val="center"/>
        <w:rPr>
          <w:b/>
        </w:rPr>
      </w:pPr>
      <w:r>
        <w:rPr>
          <w:b/>
        </w:rPr>
        <w:t>„Reform“ des Asylrechts</w:t>
      </w:r>
    </w:p>
    <w:p w:rsidR="005F69A3" w:rsidRPr="00EC4DD4" w:rsidRDefault="00EB3D93" w:rsidP="00515586">
      <w:pPr>
        <w:jc w:val="center"/>
        <w:rPr>
          <w:b/>
        </w:rPr>
      </w:pPr>
      <w:r w:rsidRPr="00EC4DD4">
        <w:rPr>
          <w:b/>
        </w:rPr>
        <w:t>Kein „f</w:t>
      </w:r>
      <w:r w:rsidR="005F69A3" w:rsidRPr="00EC4DD4">
        <w:rPr>
          <w:b/>
        </w:rPr>
        <w:t>auler Kompromiss</w:t>
      </w:r>
      <w:r w:rsidRPr="00EC4DD4">
        <w:rPr>
          <w:b/>
        </w:rPr>
        <w:t>“</w:t>
      </w:r>
      <w:r w:rsidR="005F69A3" w:rsidRPr="00EC4DD4">
        <w:rPr>
          <w:b/>
        </w:rPr>
        <w:t>, weil der „Kompromiss“ fehlt!</w:t>
      </w:r>
    </w:p>
    <w:p w:rsidR="000E41F1" w:rsidRDefault="00E24F4D" w:rsidP="00130CA5">
      <w:r>
        <w:t>Der Bundesrat hat</w:t>
      </w:r>
      <w:r w:rsidR="00022BEA">
        <w:t xml:space="preserve"> am 19. September 2014</w:t>
      </w:r>
      <w:r>
        <w:t xml:space="preserve"> „eilbedürftig“ das „</w:t>
      </w:r>
      <w:r w:rsidRPr="00E24F4D">
        <w:t>Gesetz zur Einstufung weiterer Staaten als sichere Herkunftsstaaten und zur Erleichterung des Arbeitsmarktzugangs für Asylbewerber und geduldete Ausländer</w:t>
      </w:r>
      <w:r>
        <w:t>“ verabschie</w:t>
      </w:r>
      <w:bookmarkStart w:id="0" w:name="_GoBack"/>
      <w:bookmarkEnd w:id="0"/>
      <w:r>
        <w:t>det.</w:t>
      </w:r>
      <w:r w:rsidR="00022BEA">
        <w:rPr>
          <w:rStyle w:val="Funotenzeichen"/>
        </w:rPr>
        <w:footnoteReference w:id="1"/>
      </w:r>
      <w:r w:rsidRPr="00E24F4D">
        <w:t xml:space="preserve"> </w:t>
      </w:r>
    </w:p>
    <w:p w:rsidR="000E41F1" w:rsidRDefault="00130CA5" w:rsidP="00130CA5">
      <w:r>
        <w:t>D</w:t>
      </w:r>
      <w:r w:rsidR="00E24F4D">
        <w:t xml:space="preserve">amit wurden </w:t>
      </w:r>
      <w:r>
        <w:t xml:space="preserve">Serbien, Bosnien-Herzegowina und Mazedonien in die Liste der "sicheren Herkunftsstaaten" aufgenommen. </w:t>
      </w:r>
    </w:p>
    <w:p w:rsidR="003F0103" w:rsidRPr="004C6222" w:rsidRDefault="003F0103" w:rsidP="003F0103">
      <w:pPr>
        <w:pStyle w:val="Listenabsatz"/>
        <w:numPr>
          <w:ilvl w:val="0"/>
          <w:numId w:val="4"/>
        </w:numPr>
        <w:rPr>
          <w:b/>
        </w:rPr>
      </w:pPr>
      <w:r w:rsidRPr="004C6222">
        <w:rPr>
          <w:b/>
        </w:rPr>
        <w:t>Vorgeschichte der "sicheren Herkunftsstaaten"</w:t>
      </w:r>
    </w:p>
    <w:p w:rsidR="003C1C1D" w:rsidRDefault="000E41F1" w:rsidP="00130CA5">
      <w:r>
        <w:t>Bei diese</w:t>
      </w:r>
      <w:r w:rsidR="007630D4">
        <w:t>r</w:t>
      </w:r>
      <w:r>
        <w:t xml:space="preserve"> „eilbedürftigen“ Entscheidung werden unschöne Erinnerungen wach, die sich auf die Anfänge der 90´er Jahre </w:t>
      </w:r>
      <w:r w:rsidR="00EC4DD4">
        <w:t>beziehen. Als Folge des Jugoslaw</w:t>
      </w:r>
      <w:r>
        <w:t>ien-Krieges stiegen die Flüchtlingszahlen in Deutschland dramatisch</w:t>
      </w:r>
      <w:r w:rsidR="002252E5">
        <w:t xml:space="preserve"> an unter gleichzeitig</w:t>
      </w:r>
      <w:r w:rsidR="00EC4DD4">
        <w:t xml:space="preserve"> </w:t>
      </w:r>
      <w:r w:rsidR="002252E5">
        <w:t xml:space="preserve">anhaltendem </w:t>
      </w:r>
      <w:r w:rsidR="00EC4DD4">
        <w:t xml:space="preserve">Flüchtlingsaufkommen aus der Türkei und </w:t>
      </w:r>
      <w:r w:rsidR="002252E5">
        <w:t xml:space="preserve">dem </w:t>
      </w:r>
      <w:r w:rsidR="00EC4DD4">
        <w:t>Nahen</w:t>
      </w:r>
      <w:r w:rsidR="002252E5">
        <w:t xml:space="preserve"> O</w:t>
      </w:r>
      <w:r w:rsidR="00EC4DD4">
        <w:t>sten</w:t>
      </w:r>
      <w:r w:rsidR="00271824">
        <w:t xml:space="preserve">. „Das </w:t>
      </w:r>
      <w:r w:rsidR="009D4567">
        <w:t>Boot</w:t>
      </w:r>
      <w:r w:rsidR="00271824">
        <w:t xml:space="preserve"> ist voll“ war in der politischen Landschaft</w:t>
      </w:r>
      <w:r w:rsidR="00EC4DD4">
        <w:t xml:space="preserve"> ununterbrochen</w:t>
      </w:r>
      <w:r w:rsidR="00271824">
        <w:t xml:space="preserve"> zu hören.</w:t>
      </w:r>
      <w:r w:rsidR="0076005A">
        <w:t xml:space="preserve"> </w:t>
      </w:r>
      <w:r w:rsidR="002252E5">
        <w:t xml:space="preserve">Die </w:t>
      </w:r>
      <w:r w:rsidR="0076005A">
        <w:t xml:space="preserve">Folgen waren </w:t>
      </w:r>
      <w:r w:rsidR="009D4567">
        <w:t>verheerend</w:t>
      </w:r>
      <w:r w:rsidR="0076005A">
        <w:t>: Brandanschläge in Hoyerswerda (</w:t>
      </w:r>
      <w:r w:rsidR="0076005A" w:rsidRPr="0076005A">
        <w:t>17. und 23. September 1991</w:t>
      </w:r>
      <w:r w:rsidR="0076005A">
        <w:rPr>
          <w:sz w:val="24"/>
        </w:rPr>
        <w:t>),</w:t>
      </w:r>
      <w:r w:rsidR="0076005A" w:rsidRPr="0076005A">
        <w:t xml:space="preserve"> </w:t>
      </w:r>
      <w:r w:rsidR="0076005A">
        <w:t xml:space="preserve"> in Rostock-</w:t>
      </w:r>
      <w:r w:rsidR="009D4567">
        <w:t>Lichtenhagen</w:t>
      </w:r>
      <w:r w:rsidR="0076005A">
        <w:t xml:space="preserve"> (22.-26. August 1992), in </w:t>
      </w:r>
      <w:r w:rsidR="009D4567">
        <w:t>Mölln</w:t>
      </w:r>
      <w:r w:rsidR="0076005A">
        <w:t xml:space="preserve"> (</w:t>
      </w:r>
      <w:r w:rsidR="0076005A" w:rsidRPr="0076005A">
        <w:t>23. November 1992</w:t>
      </w:r>
      <w:r w:rsidR="0076005A">
        <w:t xml:space="preserve">), in </w:t>
      </w:r>
      <w:r w:rsidR="0076005A" w:rsidRPr="0076005A">
        <w:t xml:space="preserve"> </w:t>
      </w:r>
      <w:r w:rsidR="0076005A">
        <w:t>Solingen (</w:t>
      </w:r>
      <w:r w:rsidR="0076005A" w:rsidRPr="0076005A">
        <w:t>29. Mai 1993</w:t>
      </w:r>
      <w:r w:rsidR="0076005A">
        <w:t>).</w:t>
      </w:r>
      <w:r w:rsidR="002252E5">
        <w:t xml:space="preserve"> Zu dieser Zeit </w:t>
      </w:r>
      <w:r w:rsidR="00271824">
        <w:t>hat die SPD „staatstragend“ de</w:t>
      </w:r>
      <w:r w:rsidR="002252E5">
        <w:t>m</w:t>
      </w:r>
      <w:r w:rsidR="00271824">
        <w:t xml:space="preserve"> „Kompromiss“ der sicheren Drittstaaten zugestimmt.</w:t>
      </w:r>
      <w:r w:rsidR="0072380F">
        <w:rPr>
          <w:rStyle w:val="Funotenzeichen"/>
        </w:rPr>
        <w:footnoteReference w:id="2"/>
      </w:r>
      <w:r w:rsidR="0072380F">
        <w:t xml:space="preserve"> </w:t>
      </w:r>
      <w:r w:rsidR="00271824">
        <w:t xml:space="preserve"> Deutschland </w:t>
      </w:r>
      <w:r w:rsidR="002252E5">
        <w:t xml:space="preserve">war fortan </w:t>
      </w:r>
      <w:r w:rsidR="00271824">
        <w:t xml:space="preserve">von sicheren Drittstaaten und EU-Staaten </w:t>
      </w:r>
      <w:r w:rsidR="009D4567">
        <w:t>umzingelt</w:t>
      </w:r>
      <w:r w:rsidR="00271824">
        <w:t xml:space="preserve">. </w:t>
      </w:r>
    </w:p>
    <w:p w:rsidR="0072380F" w:rsidRDefault="0072380F" w:rsidP="00130CA5"/>
    <w:p w:rsidR="00130CA5" w:rsidRPr="004C6222" w:rsidRDefault="0072380F" w:rsidP="00EC4DD4">
      <w:pPr>
        <w:pStyle w:val="Listenabsatz"/>
        <w:numPr>
          <w:ilvl w:val="0"/>
          <w:numId w:val="4"/>
        </w:numPr>
        <w:rPr>
          <w:b/>
        </w:rPr>
      </w:pPr>
      <w:r w:rsidRPr="004C6222">
        <w:rPr>
          <w:b/>
        </w:rPr>
        <w:t>Wie definiert sich der</w:t>
      </w:r>
      <w:r w:rsidR="002252E5">
        <w:rPr>
          <w:b/>
        </w:rPr>
        <w:t xml:space="preserve"> Begriff</w:t>
      </w:r>
      <w:r w:rsidRPr="004C6222">
        <w:rPr>
          <w:b/>
        </w:rPr>
        <w:t xml:space="preserve"> „sichere</w:t>
      </w:r>
      <w:r w:rsidR="003C1C1D" w:rsidRPr="004C6222">
        <w:rPr>
          <w:b/>
        </w:rPr>
        <w:t xml:space="preserve">“ Staaten? </w:t>
      </w:r>
    </w:p>
    <w:p w:rsidR="00130CA5" w:rsidRDefault="003C1C1D" w:rsidP="00130CA5">
      <w:r>
        <w:t xml:space="preserve">Gemäß </w:t>
      </w:r>
      <w:r w:rsidR="00130CA5">
        <w:t>EU-Asylverfahrensrichtlinie</w:t>
      </w:r>
      <w:r w:rsidR="00130CA5">
        <w:rPr>
          <w:rStyle w:val="Funotenzeichen"/>
        </w:rPr>
        <w:footnoteReference w:id="3"/>
      </w:r>
      <w:r w:rsidR="00130CA5">
        <w:t xml:space="preserve"> </w:t>
      </w:r>
      <w:r>
        <w:t xml:space="preserve">ist ein Herkunftsland </w:t>
      </w:r>
      <w:r w:rsidR="00130CA5">
        <w:t>dann "sicher", wenn dort "keine Gefährdung von Leben und Freiheit aus Gründen der Rasse, der Religion, der Nationalität, der Zugehörigkeit zu einer bestimmten sozialen Gruppe oder der politischen Überzeugung" stattfindet.</w:t>
      </w:r>
      <w:r w:rsidR="00130CA5">
        <w:rPr>
          <w:rStyle w:val="Funotenzeichen"/>
        </w:rPr>
        <w:footnoteReference w:id="4"/>
      </w:r>
      <w:r w:rsidR="00130CA5">
        <w:t xml:space="preserve"> </w:t>
      </w:r>
    </w:p>
    <w:p w:rsidR="00395CBB" w:rsidRDefault="00395CBB" w:rsidP="00130CA5">
      <w:r>
        <w:t>Nach dem deutschen Grundgesetz sind Staaten sicher, "bei denen [...] gewährleistet erscheint, dass dort weder politische Verfolgung noch unmenschliche oder erniedrigende Bestrafung oder Behandlung stattfindet."</w:t>
      </w:r>
      <w:r>
        <w:rPr>
          <w:rStyle w:val="Funotenzeichen"/>
        </w:rPr>
        <w:footnoteReference w:id="5"/>
      </w:r>
      <w:r>
        <w:t xml:space="preserve"> Es genügt also, dass in diesen Ländern </w:t>
      </w:r>
      <w:r w:rsidR="002252E5">
        <w:t xml:space="preserve">die </w:t>
      </w:r>
      <w:r>
        <w:t>besagten Rechtsgüter gewährleistet „erscheinen“, um als sicherer Drittstaat eingestuft zu werden.</w:t>
      </w:r>
    </w:p>
    <w:p w:rsidR="00130CA5" w:rsidRDefault="00130CA5" w:rsidP="00F04EFF"/>
    <w:p w:rsidR="00EB3D93" w:rsidRPr="004C6222" w:rsidRDefault="00EB3D93" w:rsidP="00EC4DD4">
      <w:pPr>
        <w:pStyle w:val="Listenabsatz"/>
        <w:numPr>
          <w:ilvl w:val="0"/>
          <w:numId w:val="4"/>
        </w:numPr>
        <w:rPr>
          <w:b/>
        </w:rPr>
      </w:pPr>
      <w:r w:rsidRPr="004C6222">
        <w:rPr>
          <w:b/>
        </w:rPr>
        <w:t>Eine Geschichte der gesetzgeberischen Täuschung</w:t>
      </w:r>
    </w:p>
    <w:p w:rsidR="00130CA5" w:rsidRDefault="00EB3D93" w:rsidP="00130CA5">
      <w:r>
        <w:t xml:space="preserve">Wieso in aller Welt </w:t>
      </w:r>
      <w:r w:rsidR="002252E5">
        <w:t xml:space="preserve">waren </w:t>
      </w:r>
      <w:r>
        <w:t>Ghana und Senegal auf der Liste der sicheren Drittstaaten? Weil der Gesetzgeber ursprünglich die Fl</w:t>
      </w:r>
      <w:r w:rsidR="00C43392">
        <w:t>üchtlinge insbesondere aus dem ehem. Jugoslaw</w:t>
      </w:r>
      <w:r>
        <w:t>ien</w:t>
      </w:r>
      <w:r w:rsidR="00C43392">
        <w:t>, Türkei und Nahenosten</w:t>
      </w:r>
      <w:r>
        <w:t xml:space="preserve"> auf die anderen Nachbarstaaten a</w:t>
      </w:r>
      <w:r w:rsidR="00C43392">
        <w:t xml:space="preserve">bschieben wollte aber </w:t>
      </w:r>
      <w:r>
        <w:t>eine</w:t>
      </w:r>
      <w:r w:rsidR="00C43392">
        <w:t xml:space="preserve"> scheinbar</w:t>
      </w:r>
      <w:r>
        <w:t xml:space="preserve"> „neutrale“ Gesetzgebung benötigte. Daher hat die damals regierende </w:t>
      </w:r>
      <w:r w:rsidR="00130CA5">
        <w:t xml:space="preserve">CDU </w:t>
      </w:r>
      <w:r>
        <w:t xml:space="preserve">vorgeschlagen </w:t>
      </w:r>
      <w:r w:rsidR="00130CA5">
        <w:t>Bulgarien, Gambia, Ghana, Polen, Rumänien, Senegal, die Slowakei</w:t>
      </w:r>
      <w:r>
        <w:t xml:space="preserve">, Tschechien, Ungarn und Indien als sichere Drittstaaten einzustufen. </w:t>
      </w:r>
      <w:r w:rsidR="00130CA5">
        <w:t xml:space="preserve">Indien </w:t>
      </w:r>
      <w:r w:rsidR="00C43392">
        <w:t xml:space="preserve">verschwand vor der </w:t>
      </w:r>
      <w:r w:rsidR="00130CA5">
        <w:t xml:space="preserve">Bundestagsdebatte </w:t>
      </w:r>
      <w:r w:rsidR="002252E5">
        <w:t xml:space="preserve">von </w:t>
      </w:r>
      <w:r w:rsidR="00130CA5">
        <w:t>der Liste</w:t>
      </w:r>
      <w:r w:rsidR="00C43392">
        <w:t xml:space="preserve"> und anderen wurden </w:t>
      </w:r>
      <w:r w:rsidR="00130CA5">
        <w:t xml:space="preserve"> "sichere Herkunftsstaaten"</w:t>
      </w:r>
      <w:r w:rsidR="00C43392">
        <w:t xml:space="preserve">. </w:t>
      </w:r>
      <w:r w:rsidR="00130CA5">
        <w:t xml:space="preserve">Gambia und Senegal </w:t>
      </w:r>
      <w:r w:rsidR="00C43392">
        <w:t xml:space="preserve">wurden im Jahr 2005 </w:t>
      </w:r>
      <w:r w:rsidR="002252E5">
        <w:t xml:space="preserve">von </w:t>
      </w:r>
      <w:r w:rsidR="00C43392">
        <w:t xml:space="preserve">der Liste </w:t>
      </w:r>
      <w:r w:rsidR="00C43392">
        <w:lastRenderedPageBreak/>
        <w:t xml:space="preserve">genommen. </w:t>
      </w:r>
      <w:r w:rsidR="00130CA5">
        <w:t>Senegal</w:t>
      </w:r>
      <w:r w:rsidR="00C43392">
        <w:t xml:space="preserve"> </w:t>
      </w:r>
      <w:r w:rsidR="009D4567">
        <w:t>wurde</w:t>
      </w:r>
      <w:r w:rsidR="00C43392">
        <w:t xml:space="preserve"> im Jahr 2006 wieder </w:t>
      </w:r>
      <w:r w:rsidR="002252E5">
        <w:t xml:space="preserve">in </w:t>
      </w:r>
      <w:r w:rsidR="00C43392">
        <w:t>die Liste aufgenommen. Im Jahr 2004 und 2008 traten die</w:t>
      </w:r>
      <w:r w:rsidR="002252E5">
        <w:t>se</w:t>
      </w:r>
      <w:r w:rsidR="00C43392">
        <w:t xml:space="preserve"> Länder </w:t>
      </w:r>
      <w:r w:rsidR="002252E5">
        <w:t xml:space="preserve">- </w:t>
      </w:r>
      <w:r w:rsidR="009D4567">
        <w:t>außer</w:t>
      </w:r>
      <w:r w:rsidR="00C43392">
        <w:t xml:space="preserve"> Senegal und Ghana</w:t>
      </w:r>
      <w:r w:rsidR="002252E5">
        <w:t xml:space="preserve"> -</w:t>
      </w:r>
      <w:r w:rsidR="00C43392">
        <w:t xml:space="preserve"> der EU bei. Somit blieben nur diese </w:t>
      </w:r>
      <w:r w:rsidR="009D4567">
        <w:t>beiden</w:t>
      </w:r>
      <w:r w:rsidR="00C43392">
        <w:t xml:space="preserve"> Länder</w:t>
      </w:r>
      <w:r w:rsidR="002252E5">
        <w:t xml:space="preserve">, </w:t>
      </w:r>
      <w:r w:rsidR="009D4567">
        <w:t>die ursprünglich lediglich als Ne</w:t>
      </w:r>
      <w:r w:rsidR="004F349A">
        <w:t>utralitätsalibi gedacht waren</w:t>
      </w:r>
      <w:r w:rsidR="002252E5">
        <w:t>, auf der Liste</w:t>
      </w:r>
      <w:r w:rsidR="004F349A">
        <w:t>.</w:t>
      </w:r>
    </w:p>
    <w:p w:rsidR="004F349A" w:rsidRDefault="004F349A" w:rsidP="00130CA5">
      <w:r>
        <w:t xml:space="preserve">Diesmal war der Gesetzgeber entweder </w:t>
      </w:r>
      <w:r w:rsidR="002252E5">
        <w:t xml:space="preserve">etwas </w:t>
      </w:r>
      <w:r w:rsidR="009D4567">
        <w:t>ungeschickter</w:t>
      </w:r>
      <w:r>
        <w:t xml:space="preserve"> oder </w:t>
      </w:r>
      <w:r w:rsidR="002252E5">
        <w:t xml:space="preserve">er </w:t>
      </w:r>
      <w:r>
        <w:t xml:space="preserve">hat sich auf beiden Länder Senegal und Ghana verlassen und </w:t>
      </w:r>
      <w:r w:rsidR="002252E5">
        <w:t xml:space="preserve">seine </w:t>
      </w:r>
      <w:r>
        <w:t>Absicht</w:t>
      </w:r>
      <w:r w:rsidR="002252E5">
        <w:t>,</w:t>
      </w:r>
      <w:r>
        <w:t xml:space="preserve"> </w:t>
      </w:r>
      <w:r w:rsidR="002252E5">
        <w:t xml:space="preserve">die </w:t>
      </w:r>
      <w:r>
        <w:t>„Sinti und Roma“</w:t>
      </w:r>
      <w:r w:rsidR="00D43C10">
        <w:t xml:space="preserve"> zu </w:t>
      </w:r>
      <w:r w:rsidR="002252E5">
        <w:t>verhindern,</w:t>
      </w:r>
      <w:r w:rsidR="00D43C10">
        <w:t xml:space="preserve"> zu lax</w:t>
      </w:r>
      <w:r>
        <w:t xml:space="preserve"> in die scheinbar „</w:t>
      </w:r>
      <w:r w:rsidR="00EC4DD4">
        <w:t>ne</w:t>
      </w:r>
      <w:r>
        <w:t>utrale“ Gesetzgebung gegossen.</w:t>
      </w:r>
    </w:p>
    <w:p w:rsidR="00130CA5" w:rsidRDefault="00130CA5" w:rsidP="00130CA5"/>
    <w:p w:rsidR="00EC4DD4" w:rsidRPr="004C6222" w:rsidRDefault="00EC4DD4" w:rsidP="00EC4DD4">
      <w:pPr>
        <w:pStyle w:val="Listenabsatz"/>
        <w:numPr>
          <w:ilvl w:val="0"/>
          <w:numId w:val="4"/>
        </w:numPr>
        <w:rPr>
          <w:b/>
        </w:rPr>
      </w:pPr>
      <w:r w:rsidRPr="004C6222">
        <w:rPr>
          <w:b/>
        </w:rPr>
        <w:t>Was bringt die neue Regelung unter dem Strich?</w:t>
      </w:r>
    </w:p>
    <w:p w:rsidR="00D43C10" w:rsidRPr="004C6222" w:rsidRDefault="00D43C10" w:rsidP="00130CA5">
      <w:pPr>
        <w:rPr>
          <w:b/>
        </w:rPr>
      </w:pPr>
      <w:r w:rsidRPr="004C6222">
        <w:rPr>
          <w:b/>
        </w:rPr>
        <w:t>Was ist an diese</w:t>
      </w:r>
      <w:r w:rsidR="002252E5">
        <w:rPr>
          <w:b/>
        </w:rPr>
        <w:t>n</w:t>
      </w:r>
      <w:r w:rsidRPr="004C6222">
        <w:rPr>
          <w:b/>
        </w:rPr>
        <w:t xml:space="preserve"> Änderungen positiv?</w:t>
      </w:r>
    </w:p>
    <w:p w:rsidR="00D43C10" w:rsidRDefault="00D43C10" w:rsidP="00D43C10">
      <w:pPr>
        <w:pStyle w:val="Listenabsatz"/>
        <w:numPr>
          <w:ilvl w:val="0"/>
          <w:numId w:val="1"/>
        </w:numPr>
      </w:pPr>
      <w:r>
        <w:t xml:space="preserve">Nach </w:t>
      </w:r>
      <w:r w:rsidR="002252E5">
        <w:t xml:space="preserve">dem </w:t>
      </w:r>
      <w:r>
        <w:t>bisherige</w:t>
      </w:r>
      <w:r w:rsidR="002252E5">
        <w:t>n</w:t>
      </w:r>
      <w:r>
        <w:t xml:space="preserve"> Recht können Asylbewerber nach neun und Geduldete nach 12 monatige</w:t>
      </w:r>
      <w:r w:rsidR="002252E5">
        <w:t>r</w:t>
      </w:r>
      <w:r>
        <w:t xml:space="preserve"> Wartezeit arbeiten. Diese Zeit wird zwar a</w:t>
      </w:r>
      <w:r w:rsidR="002252E5">
        <w:t>uf drei Monate gekürzt, aber die</w:t>
      </w:r>
      <w:r>
        <w:t xml:space="preserve"> sog. Vorrangsprüfung </w:t>
      </w:r>
      <w:r w:rsidR="002252E5">
        <w:t xml:space="preserve">bleibt </w:t>
      </w:r>
      <w:r w:rsidR="009D4567">
        <w:t>aufrechterhalten</w:t>
      </w:r>
      <w:r>
        <w:t xml:space="preserve">. Das </w:t>
      </w:r>
      <w:r w:rsidR="009D4567">
        <w:t>heißt</w:t>
      </w:r>
      <w:r>
        <w:t xml:space="preserve">, dass der Betroffene den </w:t>
      </w:r>
      <w:r w:rsidR="009D4567">
        <w:t>Arbeitsplatz</w:t>
      </w:r>
      <w:r>
        <w:t xml:space="preserve"> nur dann </w:t>
      </w:r>
      <w:r w:rsidR="009D4567">
        <w:t>antritt</w:t>
      </w:r>
      <w:r>
        <w:t>, wenn für diesen Platz nicht ein deutsc</w:t>
      </w:r>
      <w:r w:rsidR="009D4567">
        <w:t>her, europäischer oder ein Dritt</w:t>
      </w:r>
      <w:r>
        <w:t xml:space="preserve">staater mit </w:t>
      </w:r>
      <w:r w:rsidR="009D4567">
        <w:t>normaler</w:t>
      </w:r>
      <w:r>
        <w:t xml:space="preserve"> Arbeitserlaubnis in Frage kommt. Diese „groß“ geschriebene Verbesserung für </w:t>
      </w:r>
      <w:r w:rsidR="002252E5">
        <w:t xml:space="preserve">die </w:t>
      </w:r>
      <w:r>
        <w:t>„übrige</w:t>
      </w:r>
      <w:r w:rsidR="002252E5">
        <w:t>n</w:t>
      </w:r>
      <w:r>
        <w:t>“ Asylbewerber wird</w:t>
      </w:r>
      <w:r w:rsidR="002252E5">
        <w:t xml:space="preserve"> in der Praxis weitgehend ins</w:t>
      </w:r>
      <w:r>
        <w:t xml:space="preserve"> Leere laufen.</w:t>
      </w:r>
    </w:p>
    <w:p w:rsidR="009F6BA5" w:rsidRDefault="00D43C10" w:rsidP="00D43C10">
      <w:pPr>
        <w:pStyle w:val="Listenabsatz"/>
        <w:numPr>
          <w:ilvl w:val="0"/>
          <w:numId w:val="1"/>
        </w:numPr>
      </w:pPr>
      <w:r>
        <w:t xml:space="preserve">Geldleistungen sollen </w:t>
      </w:r>
      <w:r w:rsidR="002252E5">
        <w:t xml:space="preserve">Vorrang </w:t>
      </w:r>
      <w:r>
        <w:t xml:space="preserve">vor Sachleistungen haben. Wie und wo dies geregelt ist, muss man weiterhin kritisch beobachten, weil der Teufel im Detail steckt. Wer jedoch nicht in der Lage ist, </w:t>
      </w:r>
      <w:r w:rsidR="009D4567">
        <w:t>das jüngste</w:t>
      </w:r>
      <w:r w:rsidR="009F6BA5">
        <w:t xml:space="preserve"> Urteil des Bundesverfassungsgerichtes hinsichtlich des Asylbewerbergesetzes umzusetzen, sollte </w:t>
      </w:r>
      <w:r w:rsidR="002252E5">
        <w:t xml:space="preserve">derartige </w:t>
      </w:r>
      <w:r w:rsidR="009F6BA5">
        <w:t xml:space="preserve">Änderungen </w:t>
      </w:r>
      <w:r w:rsidR="002252E5">
        <w:t xml:space="preserve">nicht </w:t>
      </w:r>
      <w:r w:rsidR="009F6BA5">
        <w:t>als „Reform“ in den Mund nehmen. Jedoch können wir gespannt sein, ob ab sofort in allen Kommunen</w:t>
      </w:r>
      <w:r w:rsidR="00224BDF">
        <w:t xml:space="preserve"> </w:t>
      </w:r>
      <w:r w:rsidR="00760801">
        <w:t>in</w:t>
      </w:r>
      <w:r w:rsidR="00224BDF">
        <w:t xml:space="preserve"> Ba</w:t>
      </w:r>
      <w:r w:rsidR="009F6BA5">
        <w:t>den-Württemberg Flüchtlinge</w:t>
      </w:r>
      <w:r w:rsidR="00760801">
        <w:t>n</w:t>
      </w:r>
      <w:r w:rsidR="009F6BA5">
        <w:t xml:space="preserve"> Geldleistungen gewährt werden.</w:t>
      </w:r>
      <w:r>
        <w:t xml:space="preserve"> </w:t>
      </w:r>
    </w:p>
    <w:p w:rsidR="00224BDF" w:rsidRDefault="00760801" w:rsidP="00D43C10">
      <w:pPr>
        <w:pStyle w:val="Listenabsatz"/>
        <w:numPr>
          <w:ilvl w:val="0"/>
          <w:numId w:val="1"/>
        </w:numPr>
      </w:pPr>
      <w:r>
        <w:t xml:space="preserve">Die </w:t>
      </w:r>
      <w:r w:rsidR="00224BDF">
        <w:t>Abschaffung der sog. Residenzpflicht, wonach die Asylbewerber ein</w:t>
      </w:r>
      <w:r>
        <w:t>en</w:t>
      </w:r>
      <w:r w:rsidR="00224BDF">
        <w:t xml:space="preserve"> Landkreis </w:t>
      </w:r>
      <w:r>
        <w:t xml:space="preserve">nicht </w:t>
      </w:r>
      <w:r w:rsidR="00224BDF">
        <w:t xml:space="preserve">ohne Genehmigung verlassen </w:t>
      </w:r>
      <w:r>
        <w:t>dürfen</w:t>
      </w:r>
      <w:r w:rsidR="00224BDF">
        <w:t>, ist sicherlich ein positiver Schritt. Dabei sollte nicht vergessen werden, dass die F</w:t>
      </w:r>
      <w:r w:rsidR="009D4567">
        <w:t>lüchtlinge ihr</w:t>
      </w:r>
      <w:r>
        <w:t>en</w:t>
      </w:r>
      <w:r w:rsidR="00224BDF">
        <w:t xml:space="preserve"> Wohnort nach</w:t>
      </w:r>
      <w:r w:rsidR="009D4567">
        <w:t xml:space="preserve"> </w:t>
      </w:r>
      <w:r w:rsidR="00224BDF">
        <w:t>wie</w:t>
      </w:r>
      <w:r w:rsidR="009D4567">
        <w:t xml:space="preserve"> </w:t>
      </w:r>
      <w:r w:rsidR="00224BDF">
        <w:t>vor nicht selbst wählen können</w:t>
      </w:r>
      <w:r>
        <w:t>, sondern der Genehmigung bedürfen</w:t>
      </w:r>
      <w:r w:rsidR="00224BDF">
        <w:t xml:space="preserve">. Deutschland war </w:t>
      </w:r>
      <w:r>
        <w:t xml:space="preserve">das </w:t>
      </w:r>
      <w:r w:rsidR="00224BDF">
        <w:t xml:space="preserve">einzige EU-Land, in dem eine </w:t>
      </w:r>
      <w:r>
        <w:t>solche Regelung existierte. Mit diesem</w:t>
      </w:r>
      <w:r w:rsidR="00224BDF">
        <w:t xml:space="preserve"> Schritt wurde neben de</w:t>
      </w:r>
      <w:r>
        <w:t>n</w:t>
      </w:r>
      <w:r w:rsidR="00224BDF">
        <w:t xml:space="preserve"> Flüchtling</w:t>
      </w:r>
      <w:r>
        <w:t>en auch bzw. insbesondere</w:t>
      </w:r>
      <w:r w:rsidR="00224BDF">
        <w:t xml:space="preserve"> der SPD geholfen, die in der Koalition Erklärungsnot gehabt hätte.</w:t>
      </w:r>
    </w:p>
    <w:p w:rsidR="00224BDF" w:rsidRPr="004C6222" w:rsidRDefault="00224BDF" w:rsidP="00224BDF">
      <w:pPr>
        <w:rPr>
          <w:b/>
        </w:rPr>
      </w:pPr>
      <w:r w:rsidRPr="004C6222">
        <w:rPr>
          <w:b/>
        </w:rPr>
        <w:t>Was ist negativ an dieser Regelung?</w:t>
      </w:r>
    </w:p>
    <w:p w:rsidR="00A105E2" w:rsidRDefault="00760801" w:rsidP="00A105E2">
      <w:pPr>
        <w:pStyle w:val="Listenabsatz"/>
        <w:numPr>
          <w:ilvl w:val="0"/>
          <w:numId w:val="1"/>
        </w:numPr>
      </w:pPr>
      <w:r>
        <w:t xml:space="preserve">Der </w:t>
      </w:r>
      <w:r w:rsidR="00224BDF">
        <w:t xml:space="preserve">Flüchtlingsschutz darf als Grundrecht mit insbesondere wirtschaftlichen Argumenten nicht vermengt werden, wie </w:t>
      </w:r>
      <w:r>
        <w:t xml:space="preserve">dies </w:t>
      </w:r>
      <w:r w:rsidR="00224BDF">
        <w:t xml:space="preserve">im Jahr 1993 leider getan wurde. Daran hat sich jetzt leider auch nichts geändert. </w:t>
      </w:r>
      <w:r>
        <w:t>Der aktuelle</w:t>
      </w:r>
      <w:r w:rsidR="00224BDF">
        <w:t xml:space="preserve"> Gesetzentwurf:</w:t>
      </w:r>
      <w:r w:rsidR="00130CA5">
        <w:t xml:space="preserve"> "Durch die zahlreichen, zumeist aus nicht asylrelevanten Motiven gestellten Asylanträge werden Bund, Länder und Kommunen mit erheblichen Kosten für die Durchführung der Verfahren und für die Versorgung der sich in Deutschland aufhaltenden Asylsuchenden belastet."</w:t>
      </w:r>
      <w:r w:rsidR="00A105E2" w:rsidRPr="00A105E2">
        <w:t xml:space="preserve"> </w:t>
      </w:r>
    </w:p>
    <w:p w:rsidR="00395CBB" w:rsidRDefault="00760801" w:rsidP="00395CBB">
      <w:pPr>
        <w:pStyle w:val="Listenabsatz"/>
        <w:numPr>
          <w:ilvl w:val="0"/>
          <w:numId w:val="1"/>
        </w:numPr>
      </w:pPr>
      <w:r>
        <w:t xml:space="preserve">Die </w:t>
      </w:r>
      <w:r w:rsidR="00A105E2">
        <w:t xml:space="preserve">Gesetzgebung ist widersprüchlich. </w:t>
      </w:r>
      <w:r w:rsidR="00A105E2" w:rsidRPr="00A105E2">
        <w:t xml:space="preserve">Der miserable Lebenszustand der Roma-Minderheit </w:t>
      </w:r>
      <w:r>
        <w:t xml:space="preserve">wird </w:t>
      </w:r>
      <w:r w:rsidR="00A105E2" w:rsidRPr="00A105E2">
        <w:t xml:space="preserve">im Gesetzesentwurf des Bundestages beschrieben. </w:t>
      </w:r>
      <w:r w:rsidR="00A105E2">
        <w:t>Es wird erkannt, d</w:t>
      </w:r>
      <w:r w:rsidR="00A105E2" w:rsidRPr="00A105E2">
        <w:t>ass diese zu</w:t>
      </w:r>
      <w:r>
        <w:t>m</w:t>
      </w:r>
      <w:r w:rsidR="00A105E2" w:rsidRPr="00A105E2">
        <w:t xml:space="preserve"> Bildungs- und Gesundheitssystem und </w:t>
      </w:r>
      <w:r>
        <w:t xml:space="preserve">zum </w:t>
      </w:r>
      <w:r w:rsidR="00A105E2" w:rsidRPr="00A105E2">
        <w:t xml:space="preserve">Arbeitsmarkt </w:t>
      </w:r>
      <w:r>
        <w:t xml:space="preserve">nur eingeschränkten Zugang haben, da ihnen </w:t>
      </w:r>
      <w:r w:rsidR="00A105E2" w:rsidRPr="00A105E2">
        <w:t>vorgehalten wird, keine korrekten Melded</w:t>
      </w:r>
      <w:r w:rsidR="00A105E2">
        <w:t xml:space="preserve">okumente </w:t>
      </w:r>
      <w:r>
        <w:t xml:space="preserve">zu </w:t>
      </w:r>
      <w:r w:rsidR="00A105E2">
        <w:t xml:space="preserve">besitzen. </w:t>
      </w:r>
      <w:r>
        <w:t xml:space="preserve">Der </w:t>
      </w:r>
      <w:r w:rsidR="00A105E2">
        <w:t>Gesetzentwurf</w:t>
      </w:r>
      <w:r w:rsidR="00A105E2" w:rsidRPr="00A105E2">
        <w:t xml:space="preserve"> </w:t>
      </w:r>
      <w:r>
        <w:t xml:space="preserve">räumt </w:t>
      </w:r>
      <w:r w:rsidR="00A105E2" w:rsidRPr="00A105E2">
        <w:t xml:space="preserve">auch </w:t>
      </w:r>
      <w:r>
        <w:t>ein,</w:t>
      </w:r>
      <w:r w:rsidR="00A105E2" w:rsidRPr="00A105E2">
        <w:t xml:space="preserve"> dass diesen Minderheiten der Zugang zu den Meldedokumenten erschwert ist. Trotzdem wird eine systematische Verfolgung dieser Gruppen ausgeschlossen.</w:t>
      </w:r>
      <w:r w:rsidR="00130CA5">
        <w:t xml:space="preserve"> </w:t>
      </w:r>
      <w:r w:rsidR="003C040F">
        <w:rPr>
          <w:rStyle w:val="Funotenzeichen"/>
        </w:rPr>
        <w:footnoteReference w:id="6"/>
      </w:r>
    </w:p>
    <w:p w:rsidR="00A105E2" w:rsidRDefault="00395CBB" w:rsidP="00395CBB">
      <w:pPr>
        <w:pStyle w:val="Listenabsatz"/>
        <w:numPr>
          <w:ilvl w:val="0"/>
          <w:numId w:val="1"/>
        </w:numPr>
      </w:pPr>
      <w:r>
        <w:t xml:space="preserve">Der Antrag eines Asylbewerbers </w:t>
      </w:r>
      <w:r w:rsidR="00760801">
        <w:t>aus diesen sog.</w:t>
      </w:r>
      <w:r>
        <w:t xml:space="preserve"> „sicheren“ Staaten kann pauschal als "offensichtlich unbegründet" abgelehnt werden, </w:t>
      </w:r>
      <w:r w:rsidR="00760801">
        <w:t>da</w:t>
      </w:r>
      <w:r>
        <w:t xml:space="preserve"> Art. 16a Abs. 4 GG erlaubt, den </w:t>
      </w:r>
      <w:r>
        <w:lastRenderedPageBreak/>
        <w:t>Prüfungsumfang einzuschränken. Das Asylverfahrensgesetz reduziert d</w:t>
      </w:r>
      <w:r w:rsidR="00760801">
        <w:t>ie übliche</w:t>
      </w:r>
      <w:r>
        <w:t xml:space="preserve"> </w:t>
      </w:r>
      <w:r w:rsidR="00700DD8">
        <w:t>Wi</w:t>
      </w:r>
      <w:r>
        <w:t>dersp</w:t>
      </w:r>
      <w:r w:rsidR="00760801">
        <w:t>ruchfrist von 30 Tagen auf eine</w:t>
      </w:r>
      <w:r>
        <w:t xml:space="preserve"> Woche und hebt </w:t>
      </w:r>
      <w:r w:rsidR="00760801">
        <w:t>damit</w:t>
      </w:r>
      <w:r>
        <w:t xml:space="preserve"> </w:t>
      </w:r>
      <w:r w:rsidR="00760801">
        <w:t>die vielbesagte</w:t>
      </w:r>
      <w:r>
        <w:t xml:space="preserve"> Unabhängigkeit</w:t>
      </w:r>
      <w:r w:rsidR="00760801">
        <w:t xml:space="preserve"> der Gerichte</w:t>
      </w:r>
      <w:r>
        <w:t>,</w:t>
      </w:r>
      <w:r w:rsidR="00760801">
        <w:t xml:space="preserve"> die jetzt</w:t>
      </w:r>
      <w:r>
        <w:t xml:space="preserve"> ihre Entscheidung auch innerha</w:t>
      </w:r>
      <w:r w:rsidR="00760801">
        <w:t>lb einer Woche zu treffen haben, auf.</w:t>
      </w:r>
      <w:r>
        <w:rPr>
          <w:rStyle w:val="Funotenzeichen"/>
        </w:rPr>
        <w:footnoteReference w:id="7"/>
      </w:r>
    </w:p>
    <w:p w:rsidR="00700DD8" w:rsidRDefault="00395CBB" w:rsidP="00395CBB">
      <w:pPr>
        <w:pStyle w:val="Listenabsatz"/>
        <w:numPr>
          <w:ilvl w:val="0"/>
          <w:numId w:val="1"/>
        </w:numPr>
      </w:pPr>
      <w:r>
        <w:t>Es wird in der Öffentlic</w:t>
      </w:r>
      <w:r w:rsidR="00760801">
        <w:t>hkeit argumentiert (auch von</w:t>
      </w:r>
      <w:r>
        <w:t xml:space="preserve"> MP Kretschmann), dass wir </w:t>
      </w:r>
      <w:r w:rsidR="00760801">
        <w:t xml:space="preserve">es </w:t>
      </w:r>
      <w:r>
        <w:t xml:space="preserve">bei diesen drei Staaten mit EU-Beitrittskandidaten zu tun hätten. Das Bundesverfassungsgericht hat bei sieben Eilverfahren entschieden, dass </w:t>
      </w:r>
      <w:r w:rsidR="00282246">
        <w:t>sogar Griechenland als EU-Land nicht einmal als „sicherer Drittstaat“ ak</w:t>
      </w:r>
      <w:r w:rsidR="00700DD8">
        <w:t xml:space="preserve">zeptiert werden kann. </w:t>
      </w:r>
      <w:r w:rsidR="00760801">
        <w:t xml:space="preserve">Der </w:t>
      </w:r>
      <w:r w:rsidR="00700DD8">
        <w:t>genan</w:t>
      </w:r>
      <w:r w:rsidR="00282246">
        <w:t>nt</w:t>
      </w:r>
      <w:r w:rsidR="00700DD8">
        <w:t>e Rechtsf</w:t>
      </w:r>
      <w:r w:rsidR="00282246">
        <w:t>ertigungsversuch verdeutlich</w:t>
      </w:r>
      <w:r w:rsidR="00C37F53">
        <w:t>t</w:t>
      </w:r>
      <w:r w:rsidR="00282246">
        <w:t>, dass der Ges</w:t>
      </w:r>
      <w:r w:rsidR="00700DD8">
        <w:t>etzgeber keine griffige</w:t>
      </w:r>
      <w:r w:rsidR="00C37F53">
        <w:t>n</w:t>
      </w:r>
      <w:r w:rsidR="00700DD8">
        <w:t xml:space="preserve"> Argument</w:t>
      </w:r>
      <w:r w:rsidR="00282246">
        <w:t>e für diese Verschlechterung hat</w:t>
      </w:r>
      <w:r w:rsidR="00760801">
        <w:t>te</w:t>
      </w:r>
      <w:r w:rsidR="00282246">
        <w:t>.</w:t>
      </w:r>
    </w:p>
    <w:p w:rsidR="00395CBB" w:rsidRDefault="00700DD8" w:rsidP="00395CBB">
      <w:pPr>
        <w:pStyle w:val="Listenabsatz"/>
        <w:numPr>
          <w:ilvl w:val="0"/>
          <w:numId w:val="1"/>
        </w:numPr>
      </w:pPr>
      <w:r>
        <w:t xml:space="preserve">Jedem ist bewusst, dass </w:t>
      </w:r>
      <w:r w:rsidR="00760801">
        <w:t xml:space="preserve">es </w:t>
      </w:r>
      <w:r>
        <w:t xml:space="preserve">hier </w:t>
      </w:r>
      <w:r w:rsidR="00760801">
        <w:t xml:space="preserve">um die Einschränkung der Einreise von </w:t>
      </w:r>
      <w:r>
        <w:t>Sinti und Roma geht. Diese neuen Regelungen werden den Antiziganismus in Deutschland nicht mildern</w:t>
      </w:r>
      <w:r w:rsidR="00760801">
        <w:t>,</w:t>
      </w:r>
      <w:r>
        <w:t xml:space="preserve"> sondern befeuern. Als die Volksparteien </w:t>
      </w:r>
      <w:r w:rsidR="00465424">
        <w:t xml:space="preserve">in den 90´er Jahren den Versuch unternahmen, den </w:t>
      </w:r>
      <w:r>
        <w:t xml:space="preserve"> Rechtsradikalen </w:t>
      </w:r>
      <w:r w:rsidR="00465424">
        <w:t>die Argumente „</w:t>
      </w:r>
      <w:r>
        <w:t>weg</w:t>
      </w:r>
      <w:r w:rsidR="00465424">
        <w:t>zu</w:t>
      </w:r>
      <w:r>
        <w:t>nehmen</w:t>
      </w:r>
      <w:r w:rsidR="00465424">
        <w:t>“,</w:t>
      </w:r>
      <w:r>
        <w:t xml:space="preserve"> geschah das Gegenteil und </w:t>
      </w:r>
      <w:r w:rsidR="00465424">
        <w:t xml:space="preserve">der Zuspruch der </w:t>
      </w:r>
      <w:r>
        <w:t xml:space="preserve">NPD und </w:t>
      </w:r>
      <w:r w:rsidR="00465424">
        <w:t xml:space="preserve">der </w:t>
      </w:r>
      <w:r>
        <w:t xml:space="preserve">Republikaner </w:t>
      </w:r>
      <w:r w:rsidR="00465424">
        <w:t>für ihre</w:t>
      </w:r>
      <w:r>
        <w:t xml:space="preserve"> rassistische Politik</w:t>
      </w:r>
      <w:r w:rsidR="00465424">
        <w:t xml:space="preserve"> stieg, anstatt abzunehmen</w:t>
      </w:r>
      <w:r>
        <w:t>.</w:t>
      </w:r>
    </w:p>
    <w:p w:rsidR="00282246" w:rsidRDefault="00465424" w:rsidP="00395CBB">
      <w:pPr>
        <w:pStyle w:val="Listenabsatz"/>
        <w:numPr>
          <w:ilvl w:val="0"/>
          <w:numId w:val="1"/>
        </w:numPr>
      </w:pPr>
      <w:r>
        <w:t xml:space="preserve">Es gilt schlechthin </w:t>
      </w:r>
      <w:r w:rsidR="00282246">
        <w:t xml:space="preserve">als Dammbruch der grünen Flüchtlingspolitik, </w:t>
      </w:r>
      <w:r>
        <w:t xml:space="preserve">dass </w:t>
      </w:r>
      <w:r w:rsidR="00282246">
        <w:t>wir Grüne, seit mehr als 30 Jahren drau</w:t>
      </w:r>
      <w:r w:rsidR="00700DD8">
        <w:t>f</w:t>
      </w:r>
      <w:r>
        <w:t xml:space="preserve"> pochen, dass</w:t>
      </w:r>
      <w:r w:rsidR="00282246">
        <w:t xml:space="preserve"> </w:t>
      </w:r>
      <w:r>
        <w:t xml:space="preserve"> das </w:t>
      </w:r>
      <w:r w:rsidR="00282246">
        <w:t>Asyl</w:t>
      </w:r>
      <w:r>
        <w:t>recht</w:t>
      </w:r>
      <w:r w:rsidR="00282246">
        <w:t xml:space="preserve"> ein individuelles Grundrecht ist. Jedoch möchte ich </w:t>
      </w:r>
      <w:r>
        <w:t xml:space="preserve">angesichts der heutigen Situation </w:t>
      </w:r>
      <w:r w:rsidR="00282246">
        <w:t xml:space="preserve">die Öffentlichkeit beruhigen. Nicht die Partei </w:t>
      </w:r>
      <w:r>
        <w:t xml:space="preserve">ist </w:t>
      </w:r>
      <w:r w:rsidR="00282246">
        <w:t>aus der Spuren geraten, sondern einige wenige Mitglieder unserer Partei</w:t>
      </w:r>
      <w:r w:rsidR="00700DD8">
        <w:t>.</w:t>
      </w:r>
    </w:p>
    <w:p w:rsidR="00700DD8" w:rsidRDefault="00700DD8" w:rsidP="00700DD8"/>
    <w:p w:rsidR="00700DD8" w:rsidRPr="004C6222" w:rsidRDefault="009D4567" w:rsidP="00EC4DD4">
      <w:pPr>
        <w:pStyle w:val="Listenabsatz"/>
        <w:numPr>
          <w:ilvl w:val="0"/>
          <w:numId w:val="4"/>
        </w:numPr>
        <w:rPr>
          <w:b/>
        </w:rPr>
      </w:pPr>
      <w:r w:rsidRPr="004C6222">
        <w:rPr>
          <w:b/>
        </w:rPr>
        <w:t>Resümee</w:t>
      </w:r>
      <w:r w:rsidR="00700DD8" w:rsidRPr="004C6222">
        <w:rPr>
          <w:b/>
        </w:rPr>
        <w:t xml:space="preserve"> und Ausblick</w:t>
      </w:r>
    </w:p>
    <w:p w:rsidR="004C6222" w:rsidRDefault="00700DD8" w:rsidP="004C6222">
      <w:r>
        <w:t>Die kleine</w:t>
      </w:r>
      <w:r w:rsidR="00C37F53">
        <w:t>n</w:t>
      </w:r>
      <w:r w:rsidR="00465424">
        <w:t xml:space="preserve"> Verbesserungen stehen zu </w:t>
      </w:r>
      <w:r>
        <w:t>den Verschlechterungen nicht im Verhältnis. Die EU-Asylverfahrensrichtlinie sieht eine regelmäßige Evaluierung der Liste der sicheren Drittstaaten vor.</w:t>
      </w:r>
      <w:r w:rsidR="00BE36A3">
        <w:rPr>
          <w:rStyle w:val="Funotenzeichen"/>
        </w:rPr>
        <w:footnoteReference w:id="8"/>
      </w:r>
      <w:r>
        <w:t xml:space="preserve"> Daher müssen diese Länder erneut aus</w:t>
      </w:r>
      <w:r w:rsidR="004C6222">
        <w:t xml:space="preserve"> dieser Liste </w:t>
      </w:r>
      <w:r w:rsidR="00465424">
        <w:t>he</w:t>
      </w:r>
      <w:r w:rsidR="004C6222">
        <w:t>rausgenommen</w:t>
      </w:r>
      <w:r w:rsidR="00465424">
        <w:t xml:space="preserve"> werden</w:t>
      </w:r>
      <w:r>
        <w:t>.</w:t>
      </w:r>
    </w:p>
    <w:p w:rsidR="004C6222" w:rsidRDefault="000D76EA" w:rsidP="004C6222">
      <w:r>
        <w:t>Av. Memet K</w:t>
      </w:r>
      <w:r>
        <w:rPr>
          <w:lang w:val="tr-TR"/>
        </w:rPr>
        <w:t xml:space="preserve">ılıç, </w:t>
      </w:r>
      <w:r>
        <w:t>MdB a.D.</w:t>
      </w:r>
    </w:p>
    <w:p w:rsidR="004C6222" w:rsidRDefault="004C6222" w:rsidP="004C6222">
      <w:r>
        <w:t>Vorstandsmitglied des Bundeszuwanderungs- und Integrationsrates</w:t>
      </w:r>
    </w:p>
    <w:p w:rsidR="00DA6D45" w:rsidRPr="000D76EA" w:rsidRDefault="00DA6D45" w:rsidP="004C6222">
      <w:r>
        <w:t>Email: kanzlei.kilic@gmail.com</w:t>
      </w:r>
    </w:p>
    <w:p w:rsidR="00E24F4D" w:rsidRDefault="00E24F4D" w:rsidP="001B6678">
      <w:pPr>
        <w:spacing w:line="480" w:lineRule="auto"/>
      </w:pPr>
    </w:p>
    <w:sectPr w:rsidR="00E24F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A2" w:rsidRDefault="005857A2" w:rsidP="00130CA5">
      <w:pPr>
        <w:spacing w:after="0" w:line="240" w:lineRule="auto"/>
      </w:pPr>
      <w:r>
        <w:separator/>
      </w:r>
    </w:p>
  </w:endnote>
  <w:endnote w:type="continuationSeparator" w:id="0">
    <w:p w:rsidR="005857A2" w:rsidRDefault="005857A2" w:rsidP="0013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A2" w:rsidRDefault="005857A2" w:rsidP="00130CA5">
      <w:pPr>
        <w:spacing w:after="0" w:line="240" w:lineRule="auto"/>
      </w:pPr>
      <w:r>
        <w:separator/>
      </w:r>
    </w:p>
  </w:footnote>
  <w:footnote w:type="continuationSeparator" w:id="0">
    <w:p w:rsidR="005857A2" w:rsidRDefault="005857A2" w:rsidP="00130CA5">
      <w:pPr>
        <w:spacing w:after="0" w:line="240" w:lineRule="auto"/>
      </w:pPr>
      <w:r>
        <w:continuationSeparator/>
      </w:r>
    </w:p>
  </w:footnote>
  <w:footnote w:id="1">
    <w:p w:rsidR="00022BEA" w:rsidRDefault="00022BEA">
      <w:pPr>
        <w:pStyle w:val="Funotentext"/>
      </w:pPr>
      <w:r>
        <w:rPr>
          <w:rStyle w:val="Funotenzeichen"/>
        </w:rPr>
        <w:footnoteRef/>
      </w:r>
      <w:r>
        <w:t xml:space="preserve"> BR-Drs 183/14; BT-Drs 18/1528.</w:t>
      </w:r>
    </w:p>
  </w:footnote>
  <w:footnote w:id="2">
    <w:p w:rsidR="0072380F" w:rsidRDefault="0072380F">
      <w:pPr>
        <w:pStyle w:val="Funotentext"/>
      </w:pPr>
      <w:r>
        <w:rPr>
          <w:rStyle w:val="Funotenzeichen"/>
        </w:rPr>
        <w:footnoteRef/>
      </w:r>
      <w:r>
        <w:t xml:space="preserve"> Regierungserklärung von 1993</w:t>
      </w:r>
      <w:r w:rsidRPr="0072380F">
        <w:t>: "Es sollten nur Länder in die Liste der sicheren Herkunftsstaaten aufgenommen werden, bei denen es nach allen Abwägungen zweifelsfrei sei, dass dort die Menschenrechte beachtet und die vorausgesetzten Kriterien eingehalten würden."</w:t>
      </w:r>
    </w:p>
  </w:footnote>
  <w:footnote w:id="3">
    <w:p w:rsidR="00130CA5" w:rsidRDefault="00130CA5" w:rsidP="00130CA5">
      <w:pPr>
        <w:pStyle w:val="Funotentext"/>
      </w:pPr>
      <w:r>
        <w:rPr>
          <w:rStyle w:val="Funotenzeichen"/>
        </w:rPr>
        <w:footnoteRef/>
      </w:r>
      <w:r>
        <w:t xml:space="preserve"> RICHTLINIE 2013/32/EU DES EUROPÄISCHEN PARLAMENTS UND DES RATES vom 26. Juni 2013</w:t>
      </w:r>
    </w:p>
    <w:p w:rsidR="00130CA5" w:rsidRDefault="00130CA5" w:rsidP="00130CA5">
      <w:pPr>
        <w:pStyle w:val="Funotentext"/>
      </w:pPr>
      <w:r>
        <w:t xml:space="preserve">zu gemeinsamen Verfahren für die Zuerkennung und Aberkennung des internationalen Schutzes </w:t>
      </w:r>
    </w:p>
    <w:p w:rsidR="00130CA5" w:rsidRDefault="00130CA5" w:rsidP="00130CA5">
      <w:pPr>
        <w:pStyle w:val="Funotentext"/>
      </w:pPr>
      <w:r>
        <w:t>(Neufassung)</w:t>
      </w:r>
    </w:p>
  </w:footnote>
  <w:footnote w:id="4">
    <w:p w:rsidR="00130CA5" w:rsidRDefault="00130CA5">
      <w:pPr>
        <w:pStyle w:val="Funotentext"/>
      </w:pPr>
      <w:r>
        <w:rPr>
          <w:rStyle w:val="Funotenzeichen"/>
        </w:rPr>
        <w:footnoteRef/>
      </w:r>
      <w:r>
        <w:t xml:space="preserve"> Art. 38 der Richtlinie (Art. 39 sichere europäische Drittstaaten).</w:t>
      </w:r>
    </w:p>
  </w:footnote>
  <w:footnote w:id="5">
    <w:p w:rsidR="00395CBB" w:rsidRDefault="00395CBB" w:rsidP="00395CBB">
      <w:pPr>
        <w:pStyle w:val="Funotentext"/>
      </w:pPr>
      <w:r>
        <w:rPr>
          <w:rStyle w:val="Funotenzeichen"/>
        </w:rPr>
        <w:footnoteRef/>
      </w:r>
      <w:r>
        <w:t xml:space="preserve"> Art. 16a Abs. 3</w:t>
      </w:r>
    </w:p>
  </w:footnote>
  <w:footnote w:id="6">
    <w:p w:rsidR="003C040F" w:rsidRDefault="003C040F">
      <w:pPr>
        <w:pStyle w:val="Funotentext"/>
      </w:pPr>
      <w:r>
        <w:rPr>
          <w:rStyle w:val="Funotenzeichen"/>
        </w:rPr>
        <w:footnoteRef/>
      </w:r>
      <w:r>
        <w:t xml:space="preserve"> BT-Drs. 18/1528, S. 12 f.</w:t>
      </w:r>
    </w:p>
  </w:footnote>
  <w:footnote w:id="7">
    <w:p w:rsidR="00395CBB" w:rsidRDefault="00395CBB" w:rsidP="00395CBB">
      <w:pPr>
        <w:pStyle w:val="Funotentext"/>
      </w:pPr>
      <w:r>
        <w:rPr>
          <w:rStyle w:val="Funotenzeichen"/>
        </w:rPr>
        <w:footnoteRef/>
      </w:r>
      <w:r>
        <w:t xml:space="preserve"> Art. 36 des Asylverfahrensgesetzes (AsylVfG), Ausfertigungsdatum: 26.06.1992, in der Fassung der Bekanntmachung vom 2. September 2008 (BGBl. I S. 1798), das zuletzt durch Artikel 1 des Gesetzes vom 28. August 2013 (BGBl. I S. 3474) geändert worden ist; „(3) Anträge nach § 80 Abs. 5 der Verwaltungsgerichtsordnung gegen die Abschiebungsandrohung sind innerhalb einer Woche nach Bekanntgabe zu stellen; dem Antrag soll der Bescheid des Bundesamtes beigefügt werden.</w:t>
      </w:r>
    </w:p>
    <w:p w:rsidR="00395CBB" w:rsidRDefault="00395CBB" w:rsidP="00395CBB">
      <w:pPr>
        <w:pStyle w:val="Funotentext"/>
      </w:pPr>
      <w:r>
        <w:t>Der Ausländer ist hierauf hinzuweisen. § 58 der Verwaltungsgerichtsordnung ist entsprechend anzuwenden.</w:t>
      </w:r>
    </w:p>
    <w:p w:rsidR="00395CBB" w:rsidRDefault="00395CBB" w:rsidP="00395CBB">
      <w:pPr>
        <w:pStyle w:val="Funotentext"/>
      </w:pPr>
      <w:r>
        <w:t>Die Entscheidung soll im schriftlichen Verfahren ergehen; eine mündliche Verhandlung, in der zugleich über die Klage verhandelt wird, ist unzulässig. Die Entscheidung soll innerhalb von einer Woche nach Ablauf der Frist des Absatzes 1 ergehen. Die Kammer des Verwaltungsgerichts kann die Frist nach Satz 5 um jeweils eine weitere Woche verlängern. Die zweite Verlängerung und weitere Verlängerungen sind nur bei Vorliegen schwerwiegender Gründe zulässig, insbesondere wenn eine außergewöhnliche Belastung des Gerichts eine frühere Entscheidung nicht möglich macht. Die Abschiebung ist bei rechtzeitiger Antragstellung vor der gerichtlichen Entscheidung nicht zulässig. Die Entscheidung ist ergangen, wenn die vollständig unterschriebene Entscheidungsformel der Geschäftsstelle der Kammer vorliegt.“</w:t>
      </w:r>
    </w:p>
  </w:footnote>
  <w:footnote w:id="8">
    <w:p w:rsidR="00BE36A3" w:rsidRDefault="00BE36A3">
      <w:pPr>
        <w:pStyle w:val="Funotentext"/>
      </w:pPr>
      <w:r>
        <w:rPr>
          <w:rStyle w:val="Funotenzeichen"/>
        </w:rPr>
        <w:footnoteRef/>
      </w:r>
      <w:r>
        <w:t xml:space="preserve"> Art. 37 Abs.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131"/>
    <w:multiLevelType w:val="hybridMultilevel"/>
    <w:tmpl w:val="921A7518"/>
    <w:lvl w:ilvl="0" w:tplc="B55C06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D640BD"/>
    <w:multiLevelType w:val="hybridMultilevel"/>
    <w:tmpl w:val="F4F29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07D7213"/>
    <w:multiLevelType w:val="hybridMultilevel"/>
    <w:tmpl w:val="F4F29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4E42D9"/>
    <w:multiLevelType w:val="hybridMultilevel"/>
    <w:tmpl w:val="7334F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A5"/>
    <w:rsid w:val="00004188"/>
    <w:rsid w:val="0000626E"/>
    <w:rsid w:val="000127F5"/>
    <w:rsid w:val="00013F4E"/>
    <w:rsid w:val="00014FF7"/>
    <w:rsid w:val="00016648"/>
    <w:rsid w:val="000200BD"/>
    <w:rsid w:val="00022BBE"/>
    <w:rsid w:val="00022BEA"/>
    <w:rsid w:val="00031D69"/>
    <w:rsid w:val="00044FF7"/>
    <w:rsid w:val="000526A2"/>
    <w:rsid w:val="00052896"/>
    <w:rsid w:val="00056CC7"/>
    <w:rsid w:val="00060173"/>
    <w:rsid w:val="00071746"/>
    <w:rsid w:val="00071BCE"/>
    <w:rsid w:val="000721F9"/>
    <w:rsid w:val="00081579"/>
    <w:rsid w:val="00085072"/>
    <w:rsid w:val="000919C7"/>
    <w:rsid w:val="00095396"/>
    <w:rsid w:val="000B0090"/>
    <w:rsid w:val="000B1EB1"/>
    <w:rsid w:val="000B5B5D"/>
    <w:rsid w:val="000C5336"/>
    <w:rsid w:val="000D03FC"/>
    <w:rsid w:val="000D76EA"/>
    <w:rsid w:val="000E41F1"/>
    <w:rsid w:val="00105B7A"/>
    <w:rsid w:val="00121529"/>
    <w:rsid w:val="00124342"/>
    <w:rsid w:val="0012551A"/>
    <w:rsid w:val="0012594A"/>
    <w:rsid w:val="00130CA5"/>
    <w:rsid w:val="001314C1"/>
    <w:rsid w:val="0014494C"/>
    <w:rsid w:val="00145C79"/>
    <w:rsid w:val="0014716F"/>
    <w:rsid w:val="0015087C"/>
    <w:rsid w:val="0015136E"/>
    <w:rsid w:val="00151A6A"/>
    <w:rsid w:val="00152C44"/>
    <w:rsid w:val="00177DA9"/>
    <w:rsid w:val="001853F2"/>
    <w:rsid w:val="0018641A"/>
    <w:rsid w:val="00196B4E"/>
    <w:rsid w:val="001A3E8C"/>
    <w:rsid w:val="001B063D"/>
    <w:rsid w:val="001B6678"/>
    <w:rsid w:val="00207B16"/>
    <w:rsid w:val="00207D69"/>
    <w:rsid w:val="00210888"/>
    <w:rsid w:val="00211331"/>
    <w:rsid w:val="00214C34"/>
    <w:rsid w:val="0022374A"/>
    <w:rsid w:val="00224BDF"/>
    <w:rsid w:val="002252E5"/>
    <w:rsid w:val="00233A32"/>
    <w:rsid w:val="00234E08"/>
    <w:rsid w:val="00236DAE"/>
    <w:rsid w:val="00241EB9"/>
    <w:rsid w:val="0024425A"/>
    <w:rsid w:val="002508FE"/>
    <w:rsid w:val="00254D73"/>
    <w:rsid w:val="00271824"/>
    <w:rsid w:val="00276DBD"/>
    <w:rsid w:val="00282246"/>
    <w:rsid w:val="00286E41"/>
    <w:rsid w:val="002A1C1F"/>
    <w:rsid w:val="002A5604"/>
    <w:rsid w:val="002B3577"/>
    <w:rsid w:val="002B3D13"/>
    <w:rsid w:val="002C381E"/>
    <w:rsid w:val="002D70CF"/>
    <w:rsid w:val="002E16C4"/>
    <w:rsid w:val="00300B9A"/>
    <w:rsid w:val="00301937"/>
    <w:rsid w:val="003043AC"/>
    <w:rsid w:val="00317DB3"/>
    <w:rsid w:val="00343CAC"/>
    <w:rsid w:val="00350F82"/>
    <w:rsid w:val="00351FB4"/>
    <w:rsid w:val="00354C60"/>
    <w:rsid w:val="00360029"/>
    <w:rsid w:val="003618A1"/>
    <w:rsid w:val="00364AE8"/>
    <w:rsid w:val="003678A0"/>
    <w:rsid w:val="00374209"/>
    <w:rsid w:val="00386676"/>
    <w:rsid w:val="00387782"/>
    <w:rsid w:val="00395CBB"/>
    <w:rsid w:val="003B0448"/>
    <w:rsid w:val="003B3CAF"/>
    <w:rsid w:val="003C040F"/>
    <w:rsid w:val="003C1C1D"/>
    <w:rsid w:val="003C360B"/>
    <w:rsid w:val="003E11C8"/>
    <w:rsid w:val="003F0103"/>
    <w:rsid w:val="003F2ADA"/>
    <w:rsid w:val="003F2B99"/>
    <w:rsid w:val="004106E2"/>
    <w:rsid w:val="0044188E"/>
    <w:rsid w:val="00443319"/>
    <w:rsid w:val="00454278"/>
    <w:rsid w:val="00465424"/>
    <w:rsid w:val="00481E63"/>
    <w:rsid w:val="00491317"/>
    <w:rsid w:val="0049140E"/>
    <w:rsid w:val="004A4B97"/>
    <w:rsid w:val="004A73F6"/>
    <w:rsid w:val="004B0C49"/>
    <w:rsid w:val="004B6A95"/>
    <w:rsid w:val="004C1B5F"/>
    <w:rsid w:val="004C26E0"/>
    <w:rsid w:val="004C5C76"/>
    <w:rsid w:val="004C6222"/>
    <w:rsid w:val="004F10FE"/>
    <w:rsid w:val="004F349A"/>
    <w:rsid w:val="004F5C3C"/>
    <w:rsid w:val="005000A1"/>
    <w:rsid w:val="0050158C"/>
    <w:rsid w:val="00515586"/>
    <w:rsid w:val="00522426"/>
    <w:rsid w:val="00533327"/>
    <w:rsid w:val="005443AE"/>
    <w:rsid w:val="00571661"/>
    <w:rsid w:val="0058569F"/>
    <w:rsid w:val="005857A2"/>
    <w:rsid w:val="0058713F"/>
    <w:rsid w:val="005901BF"/>
    <w:rsid w:val="00593D36"/>
    <w:rsid w:val="00596F1A"/>
    <w:rsid w:val="005A5291"/>
    <w:rsid w:val="005A67B7"/>
    <w:rsid w:val="005B4FE8"/>
    <w:rsid w:val="005B6DC4"/>
    <w:rsid w:val="005C4686"/>
    <w:rsid w:val="005D3576"/>
    <w:rsid w:val="005D3D91"/>
    <w:rsid w:val="005D3F5D"/>
    <w:rsid w:val="005D4BA0"/>
    <w:rsid w:val="005D77B5"/>
    <w:rsid w:val="005D7862"/>
    <w:rsid w:val="005E562D"/>
    <w:rsid w:val="005F69A3"/>
    <w:rsid w:val="005F6BDA"/>
    <w:rsid w:val="00606482"/>
    <w:rsid w:val="00614C34"/>
    <w:rsid w:val="006215B0"/>
    <w:rsid w:val="006252DC"/>
    <w:rsid w:val="00632D9C"/>
    <w:rsid w:val="00641638"/>
    <w:rsid w:val="00644CB5"/>
    <w:rsid w:val="00661025"/>
    <w:rsid w:val="00671F9A"/>
    <w:rsid w:val="0068529D"/>
    <w:rsid w:val="00690CAB"/>
    <w:rsid w:val="006A1DB2"/>
    <w:rsid w:val="006B1F04"/>
    <w:rsid w:val="006F1593"/>
    <w:rsid w:val="006F2707"/>
    <w:rsid w:val="00700DD8"/>
    <w:rsid w:val="00705875"/>
    <w:rsid w:val="00720E56"/>
    <w:rsid w:val="0072380F"/>
    <w:rsid w:val="00740EBD"/>
    <w:rsid w:val="00746520"/>
    <w:rsid w:val="00746AA9"/>
    <w:rsid w:val="0075515C"/>
    <w:rsid w:val="0076005A"/>
    <w:rsid w:val="00760801"/>
    <w:rsid w:val="00760ED7"/>
    <w:rsid w:val="007630D4"/>
    <w:rsid w:val="00770CB0"/>
    <w:rsid w:val="007724A4"/>
    <w:rsid w:val="007732FC"/>
    <w:rsid w:val="00776F7F"/>
    <w:rsid w:val="007A24C8"/>
    <w:rsid w:val="007A67E1"/>
    <w:rsid w:val="007A6AB9"/>
    <w:rsid w:val="007B0DD2"/>
    <w:rsid w:val="007B1A98"/>
    <w:rsid w:val="007B2C51"/>
    <w:rsid w:val="007D7FC0"/>
    <w:rsid w:val="007E68F2"/>
    <w:rsid w:val="007F569A"/>
    <w:rsid w:val="007F76E1"/>
    <w:rsid w:val="00802127"/>
    <w:rsid w:val="0080780F"/>
    <w:rsid w:val="008137FB"/>
    <w:rsid w:val="008175F3"/>
    <w:rsid w:val="00827DF3"/>
    <w:rsid w:val="0085184B"/>
    <w:rsid w:val="00853591"/>
    <w:rsid w:val="008623CD"/>
    <w:rsid w:val="00871580"/>
    <w:rsid w:val="0087170D"/>
    <w:rsid w:val="00872268"/>
    <w:rsid w:val="00894FF3"/>
    <w:rsid w:val="00895478"/>
    <w:rsid w:val="008B304B"/>
    <w:rsid w:val="008B501E"/>
    <w:rsid w:val="008C6CCB"/>
    <w:rsid w:val="009004A0"/>
    <w:rsid w:val="00901EA1"/>
    <w:rsid w:val="0091491B"/>
    <w:rsid w:val="009155C4"/>
    <w:rsid w:val="009217C2"/>
    <w:rsid w:val="00933567"/>
    <w:rsid w:val="00935BE6"/>
    <w:rsid w:val="009511DC"/>
    <w:rsid w:val="00953E5A"/>
    <w:rsid w:val="009572D5"/>
    <w:rsid w:val="00957501"/>
    <w:rsid w:val="00970CFC"/>
    <w:rsid w:val="00970F51"/>
    <w:rsid w:val="00981CF8"/>
    <w:rsid w:val="00983EA7"/>
    <w:rsid w:val="0099724B"/>
    <w:rsid w:val="009A4DC5"/>
    <w:rsid w:val="009A6E39"/>
    <w:rsid w:val="009B10D7"/>
    <w:rsid w:val="009B3C15"/>
    <w:rsid w:val="009B497C"/>
    <w:rsid w:val="009C6FF3"/>
    <w:rsid w:val="009C7374"/>
    <w:rsid w:val="009D36C0"/>
    <w:rsid w:val="009D4567"/>
    <w:rsid w:val="009D6175"/>
    <w:rsid w:val="009F0043"/>
    <w:rsid w:val="009F1442"/>
    <w:rsid w:val="009F1D0C"/>
    <w:rsid w:val="009F63F6"/>
    <w:rsid w:val="009F6BA5"/>
    <w:rsid w:val="00A0251D"/>
    <w:rsid w:val="00A105E2"/>
    <w:rsid w:val="00A20AD5"/>
    <w:rsid w:val="00A32E70"/>
    <w:rsid w:val="00A3593D"/>
    <w:rsid w:val="00A4246E"/>
    <w:rsid w:val="00A53A3E"/>
    <w:rsid w:val="00A6019A"/>
    <w:rsid w:val="00A72AD0"/>
    <w:rsid w:val="00A9195C"/>
    <w:rsid w:val="00A9262A"/>
    <w:rsid w:val="00A926CD"/>
    <w:rsid w:val="00AA1B23"/>
    <w:rsid w:val="00AB21B1"/>
    <w:rsid w:val="00AB7338"/>
    <w:rsid w:val="00AC277F"/>
    <w:rsid w:val="00AC281D"/>
    <w:rsid w:val="00AD278A"/>
    <w:rsid w:val="00AE52DB"/>
    <w:rsid w:val="00AF48ED"/>
    <w:rsid w:val="00B01062"/>
    <w:rsid w:val="00B022B3"/>
    <w:rsid w:val="00B10E8B"/>
    <w:rsid w:val="00B123EC"/>
    <w:rsid w:val="00B1773F"/>
    <w:rsid w:val="00B20B4B"/>
    <w:rsid w:val="00B45B9D"/>
    <w:rsid w:val="00B64796"/>
    <w:rsid w:val="00B6539E"/>
    <w:rsid w:val="00B6592D"/>
    <w:rsid w:val="00B755A9"/>
    <w:rsid w:val="00BA033C"/>
    <w:rsid w:val="00BB0E24"/>
    <w:rsid w:val="00BE14BC"/>
    <w:rsid w:val="00BE36A3"/>
    <w:rsid w:val="00BE5358"/>
    <w:rsid w:val="00BE7DEB"/>
    <w:rsid w:val="00BF316A"/>
    <w:rsid w:val="00BF3CBF"/>
    <w:rsid w:val="00C025EC"/>
    <w:rsid w:val="00C04523"/>
    <w:rsid w:val="00C05A56"/>
    <w:rsid w:val="00C0603C"/>
    <w:rsid w:val="00C30F13"/>
    <w:rsid w:val="00C37F53"/>
    <w:rsid w:val="00C43392"/>
    <w:rsid w:val="00C54D08"/>
    <w:rsid w:val="00C57910"/>
    <w:rsid w:val="00C617F8"/>
    <w:rsid w:val="00C62617"/>
    <w:rsid w:val="00C66D39"/>
    <w:rsid w:val="00C67260"/>
    <w:rsid w:val="00C67BB7"/>
    <w:rsid w:val="00C71136"/>
    <w:rsid w:val="00C729CD"/>
    <w:rsid w:val="00C874EB"/>
    <w:rsid w:val="00C97082"/>
    <w:rsid w:val="00CA65EF"/>
    <w:rsid w:val="00CB624A"/>
    <w:rsid w:val="00CC1820"/>
    <w:rsid w:val="00CC7AA1"/>
    <w:rsid w:val="00CD606A"/>
    <w:rsid w:val="00CF5162"/>
    <w:rsid w:val="00D0330D"/>
    <w:rsid w:val="00D12156"/>
    <w:rsid w:val="00D132A4"/>
    <w:rsid w:val="00D13C64"/>
    <w:rsid w:val="00D36C55"/>
    <w:rsid w:val="00D4009C"/>
    <w:rsid w:val="00D42A19"/>
    <w:rsid w:val="00D43C10"/>
    <w:rsid w:val="00D60CE0"/>
    <w:rsid w:val="00D60E2B"/>
    <w:rsid w:val="00D663E6"/>
    <w:rsid w:val="00D72E29"/>
    <w:rsid w:val="00D7664F"/>
    <w:rsid w:val="00D858D2"/>
    <w:rsid w:val="00D93008"/>
    <w:rsid w:val="00DA6D45"/>
    <w:rsid w:val="00DC3DBE"/>
    <w:rsid w:val="00DD5B11"/>
    <w:rsid w:val="00DE68BF"/>
    <w:rsid w:val="00DE6C3C"/>
    <w:rsid w:val="00E00B6B"/>
    <w:rsid w:val="00E0734E"/>
    <w:rsid w:val="00E10D10"/>
    <w:rsid w:val="00E16C95"/>
    <w:rsid w:val="00E21FD3"/>
    <w:rsid w:val="00E22907"/>
    <w:rsid w:val="00E24F4D"/>
    <w:rsid w:val="00E358EA"/>
    <w:rsid w:val="00E376D7"/>
    <w:rsid w:val="00E46A4A"/>
    <w:rsid w:val="00E470CA"/>
    <w:rsid w:val="00E512C1"/>
    <w:rsid w:val="00E52D40"/>
    <w:rsid w:val="00E64C8A"/>
    <w:rsid w:val="00E7347C"/>
    <w:rsid w:val="00E74C7B"/>
    <w:rsid w:val="00E85935"/>
    <w:rsid w:val="00E93940"/>
    <w:rsid w:val="00E93FCC"/>
    <w:rsid w:val="00EA0A94"/>
    <w:rsid w:val="00EA193D"/>
    <w:rsid w:val="00EB2AD1"/>
    <w:rsid w:val="00EB3D93"/>
    <w:rsid w:val="00EB6C60"/>
    <w:rsid w:val="00EC10A2"/>
    <w:rsid w:val="00EC4DD4"/>
    <w:rsid w:val="00EC56D1"/>
    <w:rsid w:val="00ED48AD"/>
    <w:rsid w:val="00ED4CC5"/>
    <w:rsid w:val="00EE7BDF"/>
    <w:rsid w:val="00EF5456"/>
    <w:rsid w:val="00F04EFF"/>
    <w:rsid w:val="00F1108D"/>
    <w:rsid w:val="00F119B9"/>
    <w:rsid w:val="00F2431A"/>
    <w:rsid w:val="00F40382"/>
    <w:rsid w:val="00F418B0"/>
    <w:rsid w:val="00F45F6D"/>
    <w:rsid w:val="00F50524"/>
    <w:rsid w:val="00F673E5"/>
    <w:rsid w:val="00F729B2"/>
    <w:rsid w:val="00F72C46"/>
    <w:rsid w:val="00F75815"/>
    <w:rsid w:val="00F91DF4"/>
    <w:rsid w:val="00F93E3D"/>
    <w:rsid w:val="00FA56D6"/>
    <w:rsid w:val="00FB44FE"/>
    <w:rsid w:val="00FB458D"/>
    <w:rsid w:val="00FD3FA0"/>
    <w:rsid w:val="00FE1925"/>
    <w:rsid w:val="00FF1EB4"/>
    <w:rsid w:val="00FF4A27"/>
    <w:rsid w:val="00FF5797"/>
    <w:rsid w:val="00FF6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30CA5"/>
    <w:pPr>
      <w:spacing w:after="0" w:line="240" w:lineRule="auto"/>
    </w:pPr>
    <w:rPr>
      <w:sz w:val="20"/>
      <w:szCs w:val="20"/>
    </w:rPr>
  </w:style>
  <w:style w:type="character" w:customStyle="1" w:styleId="FunotentextZchn">
    <w:name w:val="Fußnotentext Zchn"/>
    <w:basedOn w:val="Absatz-Standardschriftart"/>
    <w:link w:val="Funotentext"/>
    <w:uiPriority w:val="99"/>
    <w:rsid w:val="00130CA5"/>
    <w:rPr>
      <w:sz w:val="20"/>
      <w:szCs w:val="20"/>
    </w:rPr>
  </w:style>
  <w:style w:type="character" w:styleId="Funotenzeichen">
    <w:name w:val="footnote reference"/>
    <w:basedOn w:val="Absatz-Standardschriftart"/>
    <w:uiPriority w:val="99"/>
    <w:semiHidden/>
    <w:unhideWhenUsed/>
    <w:rsid w:val="00130CA5"/>
    <w:rPr>
      <w:vertAlign w:val="superscript"/>
    </w:rPr>
  </w:style>
  <w:style w:type="paragraph" w:styleId="Listenabsatz">
    <w:name w:val="List Paragraph"/>
    <w:basedOn w:val="Standard"/>
    <w:uiPriority w:val="34"/>
    <w:qFormat/>
    <w:rsid w:val="00D43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30CA5"/>
    <w:pPr>
      <w:spacing w:after="0" w:line="240" w:lineRule="auto"/>
    </w:pPr>
    <w:rPr>
      <w:sz w:val="20"/>
      <w:szCs w:val="20"/>
    </w:rPr>
  </w:style>
  <w:style w:type="character" w:customStyle="1" w:styleId="FunotentextZchn">
    <w:name w:val="Fußnotentext Zchn"/>
    <w:basedOn w:val="Absatz-Standardschriftart"/>
    <w:link w:val="Funotentext"/>
    <w:uiPriority w:val="99"/>
    <w:rsid w:val="00130CA5"/>
    <w:rPr>
      <w:sz w:val="20"/>
      <w:szCs w:val="20"/>
    </w:rPr>
  </w:style>
  <w:style w:type="character" w:styleId="Funotenzeichen">
    <w:name w:val="footnote reference"/>
    <w:basedOn w:val="Absatz-Standardschriftart"/>
    <w:uiPriority w:val="99"/>
    <w:semiHidden/>
    <w:unhideWhenUsed/>
    <w:rsid w:val="00130CA5"/>
    <w:rPr>
      <w:vertAlign w:val="superscript"/>
    </w:rPr>
  </w:style>
  <w:style w:type="paragraph" w:styleId="Listenabsatz">
    <w:name w:val="List Paragraph"/>
    <w:basedOn w:val="Standard"/>
    <w:uiPriority w:val="34"/>
    <w:qFormat/>
    <w:rsid w:val="00D4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5195">
      <w:bodyDiv w:val="1"/>
      <w:marLeft w:val="0"/>
      <w:marRight w:val="0"/>
      <w:marTop w:val="0"/>
      <w:marBottom w:val="0"/>
      <w:divBdr>
        <w:top w:val="none" w:sz="0" w:space="0" w:color="auto"/>
        <w:left w:val="none" w:sz="0" w:space="0" w:color="auto"/>
        <w:bottom w:val="none" w:sz="0" w:space="0" w:color="auto"/>
        <w:right w:val="none" w:sz="0" w:space="0" w:color="auto"/>
      </w:divBdr>
      <w:divsChild>
        <w:div w:id="45301198">
          <w:marLeft w:val="0"/>
          <w:marRight w:val="0"/>
          <w:marTop w:val="0"/>
          <w:marBottom w:val="0"/>
          <w:divBdr>
            <w:top w:val="none" w:sz="0" w:space="0" w:color="auto"/>
            <w:left w:val="none" w:sz="0" w:space="0" w:color="auto"/>
            <w:bottom w:val="none" w:sz="0" w:space="0" w:color="auto"/>
            <w:right w:val="none" w:sz="0" w:space="0" w:color="auto"/>
          </w:divBdr>
          <w:divsChild>
            <w:div w:id="2053770504">
              <w:marLeft w:val="0"/>
              <w:marRight w:val="0"/>
              <w:marTop w:val="0"/>
              <w:marBottom w:val="0"/>
              <w:divBdr>
                <w:top w:val="none" w:sz="0" w:space="0" w:color="auto"/>
                <w:left w:val="none" w:sz="0" w:space="0" w:color="auto"/>
                <w:bottom w:val="none" w:sz="0" w:space="0" w:color="auto"/>
                <w:right w:val="none" w:sz="0" w:space="0" w:color="auto"/>
              </w:divBdr>
            </w:div>
          </w:divsChild>
        </w:div>
        <w:div w:id="854463898">
          <w:marLeft w:val="0"/>
          <w:marRight w:val="0"/>
          <w:marTop w:val="0"/>
          <w:marBottom w:val="0"/>
          <w:divBdr>
            <w:top w:val="none" w:sz="0" w:space="0" w:color="auto"/>
            <w:left w:val="none" w:sz="0" w:space="0" w:color="auto"/>
            <w:bottom w:val="none" w:sz="0" w:space="0" w:color="auto"/>
            <w:right w:val="none" w:sz="0" w:space="0" w:color="auto"/>
          </w:divBdr>
          <w:divsChild>
            <w:div w:id="1476293956">
              <w:marLeft w:val="150"/>
              <w:marRight w:val="0"/>
              <w:marTop w:val="0"/>
              <w:marBottom w:val="0"/>
              <w:divBdr>
                <w:top w:val="none" w:sz="0" w:space="0" w:color="auto"/>
                <w:left w:val="none" w:sz="0" w:space="0" w:color="auto"/>
                <w:bottom w:val="none" w:sz="0" w:space="0" w:color="auto"/>
                <w:right w:val="none" w:sz="0" w:space="0" w:color="auto"/>
              </w:divBdr>
            </w:div>
            <w:div w:id="1468165732">
              <w:marLeft w:val="150"/>
              <w:marRight w:val="0"/>
              <w:marTop w:val="0"/>
              <w:marBottom w:val="0"/>
              <w:divBdr>
                <w:top w:val="none" w:sz="0" w:space="0" w:color="auto"/>
                <w:left w:val="none" w:sz="0" w:space="0" w:color="auto"/>
                <w:bottom w:val="none" w:sz="0" w:space="0" w:color="auto"/>
                <w:right w:val="none" w:sz="0" w:space="0" w:color="auto"/>
              </w:divBdr>
            </w:div>
            <w:div w:id="593323365">
              <w:marLeft w:val="150"/>
              <w:marRight w:val="0"/>
              <w:marTop w:val="0"/>
              <w:marBottom w:val="0"/>
              <w:divBdr>
                <w:top w:val="none" w:sz="0" w:space="0" w:color="auto"/>
                <w:left w:val="none" w:sz="0" w:space="0" w:color="auto"/>
                <w:bottom w:val="none" w:sz="0" w:space="0" w:color="auto"/>
                <w:right w:val="none" w:sz="0" w:space="0" w:color="auto"/>
              </w:divBdr>
            </w:div>
            <w:div w:id="2010403687">
              <w:marLeft w:val="0"/>
              <w:marRight w:val="0"/>
              <w:marTop w:val="0"/>
              <w:marBottom w:val="0"/>
              <w:divBdr>
                <w:top w:val="single" w:sz="2" w:space="0" w:color="E7E3E3"/>
                <w:left w:val="single" w:sz="2" w:space="0" w:color="E7E3E3"/>
                <w:bottom w:val="single" w:sz="2" w:space="0" w:color="E7E3E3"/>
                <w:right w:val="single" w:sz="2" w:space="0" w:color="E7E3E3"/>
              </w:divBdr>
            </w:div>
          </w:divsChild>
        </w:div>
        <w:div w:id="1056782916">
          <w:marLeft w:val="0"/>
          <w:marRight w:val="0"/>
          <w:marTop w:val="0"/>
          <w:marBottom w:val="0"/>
          <w:divBdr>
            <w:top w:val="none" w:sz="0" w:space="0" w:color="auto"/>
            <w:left w:val="none" w:sz="0" w:space="0" w:color="auto"/>
            <w:bottom w:val="none" w:sz="0" w:space="0" w:color="auto"/>
            <w:right w:val="none" w:sz="0" w:space="0" w:color="auto"/>
          </w:divBdr>
          <w:divsChild>
            <w:div w:id="11019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8A04-CFC7-4512-944D-11B669A4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RRjournalist</cp:lastModifiedBy>
  <cp:revision>2</cp:revision>
  <dcterms:created xsi:type="dcterms:W3CDTF">2014-10-07T01:11:00Z</dcterms:created>
  <dcterms:modified xsi:type="dcterms:W3CDTF">2014-10-07T01:11:00Z</dcterms:modified>
</cp:coreProperties>
</file>