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26B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Schwarzliste</w:t>
      </w:r>
      <w:r w:rsidR="00432356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Betrügerische Inkassoschreiben</w:t>
      </w:r>
      <w:r w:rsidR="00432356">
        <w:rPr>
          <w:rFonts w:ascii="Arial" w:hAnsi="Arial" w:cs="Arial"/>
        </w:rPr>
        <w:t>.</w:t>
      </w:r>
    </w:p>
    <w:p w:rsidR="0073438F" w:rsidRDefault="0073438F" w:rsidP="00EC297E">
      <w:pPr>
        <w:spacing w:after="0"/>
        <w:rPr>
          <w:rFonts w:ascii="Arial" w:hAnsi="Arial" w:cs="Arial"/>
        </w:rPr>
      </w:pPr>
    </w:p>
    <w:p w:rsidR="00A363FB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Regelmäßig erhalten Verbraucher/-innen betrügerische Inkassoschreiben. Die Verbraucherzentrale Brandenburg veröffentlicht Nummern von Konten, auf die Sie kein Geld überweisen sollten.</w:t>
      </w:r>
      <w:r w:rsidR="00432356">
        <w:rPr>
          <w:rFonts w:ascii="Arial" w:hAnsi="Arial" w:cs="Arial"/>
        </w:rPr>
        <w:t xml:space="preserve"> </w:t>
      </w:r>
      <w:r w:rsidR="00A363FB">
        <w:rPr>
          <w:rFonts w:ascii="Arial" w:hAnsi="Arial" w:cs="Arial"/>
        </w:rPr>
        <w:t>Diese Absender – alphabetische Reihenfolge – verschicken betrügerische Inkasso-Schreiben. Die Liste wird ständig aktualisiert</w:t>
      </w:r>
      <w:r w:rsidR="00432356">
        <w:rPr>
          <w:rFonts w:ascii="Arial" w:hAnsi="Arial" w:cs="Arial"/>
        </w:rPr>
        <w:t>.</w:t>
      </w:r>
    </w:p>
    <w:p w:rsidR="00A363FB" w:rsidRDefault="00A363FB" w:rsidP="00EC297E">
      <w:pPr>
        <w:spacing w:after="0"/>
        <w:rPr>
          <w:rFonts w:ascii="Arial" w:hAnsi="Arial" w:cs="Arial"/>
        </w:rPr>
      </w:pPr>
    </w:p>
    <w:p w:rsidR="00A363FB" w:rsidRDefault="00A363FB" w:rsidP="00EC297E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ADR Service</w:t>
      </w:r>
      <w:proofErr w:type="gramEnd"/>
    </w:p>
    <w:p w:rsidR="00A363FB" w:rsidRDefault="00A363FB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Astra EU Inkasso</w:t>
      </w:r>
    </w:p>
    <w:p w:rsidR="00A363FB" w:rsidRDefault="00A363FB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Berlin Direkt Inkasso AG</w:t>
      </w:r>
    </w:p>
    <w:p w:rsidR="00A363FB" w:rsidRDefault="00A363FB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„Bundesinkasso“ mit Sitz in Berlin</w:t>
      </w:r>
    </w:p>
    <w:p w:rsidR="00A363FB" w:rsidRDefault="00A363FB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Bundes Inkasso Management</w:t>
      </w:r>
    </w:p>
    <w:p w:rsidR="00A363FB" w:rsidRDefault="00A363FB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Business Inkasso, Forderungsmanagement &amp; Inkasso Büro</w:t>
      </w:r>
    </w:p>
    <w:p w:rsidR="00A363FB" w:rsidRDefault="00A363FB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 Euro Inkasso</w:t>
      </w:r>
    </w:p>
    <w:p w:rsidR="00A363FB" w:rsidRDefault="00A363FB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D.E.T.C.H. Inkasso AG</w:t>
      </w:r>
    </w:p>
    <w:p w:rsidR="00A363FB" w:rsidRDefault="00A363FB" w:rsidP="00EC297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Debt</w:t>
      </w:r>
      <w:proofErr w:type="spellEnd"/>
      <w:r>
        <w:rPr>
          <w:rFonts w:ascii="Arial" w:hAnsi="Arial" w:cs="Arial"/>
        </w:rPr>
        <w:t xml:space="preserve"> Collection </w:t>
      </w:r>
      <w:proofErr w:type="spellStart"/>
      <w:r>
        <w:rPr>
          <w:rFonts w:ascii="Arial" w:hAnsi="Arial" w:cs="Arial"/>
        </w:rPr>
        <w:t>Advisor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Collection </w:t>
      </w:r>
      <w:proofErr w:type="spellStart"/>
      <w:r>
        <w:rPr>
          <w:rFonts w:ascii="Arial" w:hAnsi="Arial" w:cs="Arial"/>
        </w:rPr>
        <w:t>Advisior</w:t>
      </w:r>
      <w:proofErr w:type="spellEnd"/>
    </w:p>
    <w:p w:rsidR="00A363FB" w:rsidRDefault="00A363FB" w:rsidP="00EC297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Debtend</w:t>
      </w:r>
      <w:proofErr w:type="spellEnd"/>
      <w:r>
        <w:rPr>
          <w:rFonts w:ascii="Arial" w:hAnsi="Arial" w:cs="Arial"/>
        </w:rPr>
        <w:t xml:space="preserve"> Service</w:t>
      </w:r>
    </w:p>
    <w:p w:rsidR="00A363FB" w:rsidRDefault="00A363FB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Beck Rechtsanwälte und Notar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ECE Solutions Group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EPLUS Inkasso AG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EU CLAIM Forderungsmanagement &amp; Inkasso Büro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EU </w:t>
      </w:r>
      <w:proofErr w:type="spellStart"/>
      <w:r>
        <w:rPr>
          <w:rFonts w:ascii="Arial" w:hAnsi="Arial" w:cs="Arial"/>
        </w:rPr>
        <w:t>Forderungs</w:t>
      </w:r>
      <w:proofErr w:type="spellEnd"/>
      <w:r>
        <w:rPr>
          <w:rFonts w:ascii="Arial" w:hAnsi="Arial" w:cs="Arial"/>
        </w:rPr>
        <w:t xml:space="preserve"> AG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EU-Online AG / EURO Online Forderungsmanagement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EU Trade Inkasso AG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Euro Inkasso AG, Hamburg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Expert Kasse AG Forderungsmanagement &amp; Inkasso Büro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Faktum Inkasso Hansen S.R.L.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Federal Management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Forderungsmanagement &amp; Rechtsanwälte Milan Delic</w:t>
      </w:r>
    </w:p>
    <w:p w:rsidR="00A363FB" w:rsidRPr="00EC297E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Forderungsmanagement Nikola Vukas</w:t>
      </w:r>
    </w:p>
    <w:p w:rsidR="00A363FB" w:rsidRDefault="00A363FB" w:rsidP="00A363F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Fordinal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Forderungs</w:t>
      </w:r>
      <w:proofErr w:type="spellEnd"/>
      <w:r>
        <w:rPr>
          <w:rFonts w:ascii="Arial" w:hAnsi="Arial" w:cs="Arial"/>
        </w:rPr>
        <w:t xml:space="preserve"> AG</w:t>
      </w:r>
    </w:p>
    <w:p w:rsidR="00A363FB" w:rsidRDefault="00A363FB" w:rsidP="00A363F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Glo</w:t>
      </w:r>
      <w:proofErr w:type="spellEnd"/>
      <w:r>
        <w:rPr>
          <w:rFonts w:ascii="Arial" w:hAnsi="Arial" w:cs="Arial"/>
        </w:rPr>
        <w:t xml:space="preserve"> Inkasso Management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GP Forderungsmanagement Emmerich</w:t>
      </w:r>
    </w:p>
    <w:p w:rsidR="00A363FB" w:rsidRDefault="00A363FB" w:rsidP="00A363F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Grada</w:t>
      </w:r>
      <w:proofErr w:type="spellEnd"/>
      <w:r>
        <w:rPr>
          <w:rFonts w:ascii="Arial" w:hAnsi="Arial" w:cs="Arial"/>
        </w:rPr>
        <w:t xml:space="preserve"> GmbH / </w:t>
      </w:r>
      <w:proofErr w:type="spellStart"/>
      <w:r>
        <w:rPr>
          <w:rFonts w:ascii="Arial" w:hAnsi="Arial" w:cs="Arial"/>
        </w:rPr>
        <w:t>My-Grada</w:t>
      </w:r>
      <w:proofErr w:type="spellEnd"/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IDV GmbH Inkasso Direkt Verband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Inkasso Hauptzentrale (abwechselnd z.B. Berlin, Bremen, Frankfurt, Köln oder Hamburg)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Inkasso &amp; Rechtsanwälte Igor </w:t>
      </w:r>
      <w:proofErr w:type="spellStart"/>
      <w:r>
        <w:rPr>
          <w:rFonts w:ascii="Arial" w:hAnsi="Arial" w:cs="Arial"/>
        </w:rPr>
        <w:t>Hilpec</w:t>
      </w:r>
      <w:proofErr w:type="spellEnd"/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Inkasso &amp; Rechtsanwälte Zoran </w:t>
      </w:r>
      <w:proofErr w:type="spellStart"/>
      <w:r>
        <w:rPr>
          <w:rFonts w:ascii="Arial" w:hAnsi="Arial" w:cs="Arial"/>
        </w:rPr>
        <w:t>Radnov</w:t>
      </w:r>
      <w:proofErr w:type="spellEnd"/>
    </w:p>
    <w:p w:rsidR="00A363FB" w:rsidRDefault="00A363FB" w:rsidP="00A363FB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Inter</w:t>
      </w:r>
      <w:proofErr w:type="spellEnd"/>
      <w:r>
        <w:rPr>
          <w:rFonts w:ascii="Arial" w:hAnsi="Arial" w:cs="Arial"/>
        </w:rPr>
        <w:t xml:space="preserve"> Plus Inkasso AG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Kanzlei Bergner &amp; Kollegen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Kanzlei </w:t>
      </w:r>
      <w:proofErr w:type="spellStart"/>
      <w:r>
        <w:rPr>
          <w:rFonts w:ascii="Arial" w:hAnsi="Arial" w:cs="Arial"/>
        </w:rPr>
        <w:t>Biksadska</w:t>
      </w:r>
      <w:proofErr w:type="spellEnd"/>
      <w:r>
        <w:rPr>
          <w:rFonts w:ascii="Arial" w:hAnsi="Arial" w:cs="Arial"/>
        </w:rPr>
        <w:t xml:space="preserve"> &amp; Kollegen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Kanzlei Büttner &amp; Kollegen</w:t>
      </w:r>
    </w:p>
    <w:p w:rsidR="00A363FB" w:rsidRDefault="00A363FB" w:rsidP="00A363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Köln Euro Inkasso AG</w:t>
      </w:r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Korth Inkasso, Inkasso und Forderungsmanagement</w:t>
      </w:r>
    </w:p>
    <w:p w:rsidR="0073438F" w:rsidRDefault="0073438F" w:rsidP="00EC297E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KS Anwaltssozietät</w:t>
      </w:r>
      <w:proofErr w:type="gramEnd"/>
      <w:r>
        <w:rPr>
          <w:rFonts w:ascii="Arial" w:hAnsi="Arial" w:cs="Arial"/>
        </w:rPr>
        <w:t>, Rechtsanwälte Schmidt und Kowalski</w:t>
      </w:r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 Inkasso AG</w:t>
      </w:r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MSD Inkasso Service </w:t>
      </w:r>
      <w:proofErr w:type="spellStart"/>
      <w:r>
        <w:rPr>
          <w:rFonts w:ascii="Arial" w:hAnsi="Arial" w:cs="Arial"/>
        </w:rPr>
        <w:t>Trusczynki</w:t>
      </w:r>
      <w:proofErr w:type="spellEnd"/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OZCAN MA FORDERUNGS AG</w:t>
      </w:r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 Expert AG</w:t>
      </w:r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 Kasse AG</w:t>
      </w:r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Plus-E Inkasso AG</w:t>
      </w:r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Plus Inkasso International AG</w:t>
      </w:r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 </w:t>
      </w:r>
      <w:proofErr w:type="spellStart"/>
      <w:r>
        <w:rPr>
          <w:rFonts w:ascii="Arial" w:hAnsi="Arial" w:cs="Arial"/>
        </w:rPr>
        <w:t>ClaimAG</w:t>
      </w:r>
      <w:proofErr w:type="spellEnd"/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proofErr w:type="spellStart"/>
      <w:r>
        <w:rPr>
          <w:rFonts w:ascii="Arial" w:hAnsi="Arial" w:cs="Arial"/>
        </w:rPr>
        <w:t>Collect</w:t>
      </w:r>
      <w:proofErr w:type="spellEnd"/>
      <w:r>
        <w:rPr>
          <w:rFonts w:ascii="Arial" w:hAnsi="Arial" w:cs="Arial"/>
        </w:rPr>
        <w:t xml:space="preserve"> AG</w:t>
      </w:r>
    </w:p>
    <w:p w:rsidR="0073438F" w:rsidRDefault="0073438F" w:rsidP="00EC297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Rigova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Forderungs</w:t>
      </w:r>
      <w:proofErr w:type="spellEnd"/>
      <w:r>
        <w:rPr>
          <w:rFonts w:ascii="Arial" w:hAnsi="Arial" w:cs="Arial"/>
        </w:rPr>
        <w:t xml:space="preserve"> AG</w:t>
      </w:r>
    </w:p>
    <w:p w:rsidR="0073438F" w:rsidRDefault="0073438F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Sofort Inkasso AG</w:t>
      </w:r>
    </w:p>
    <w:p w:rsidR="0073438F" w:rsidRDefault="0073438F" w:rsidP="00EC297E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Yu</w:t>
      </w:r>
      <w:proofErr w:type="spellEnd"/>
      <w:r>
        <w:rPr>
          <w:rFonts w:ascii="Arial" w:hAnsi="Arial" w:cs="Arial"/>
        </w:rPr>
        <w:t xml:space="preserve"> Inkasso GmbH </w:t>
      </w:r>
    </w:p>
    <w:p w:rsidR="00432356" w:rsidRDefault="00432356" w:rsidP="00EC297E">
      <w:pPr>
        <w:spacing w:after="0"/>
        <w:rPr>
          <w:rFonts w:ascii="Arial" w:hAnsi="Arial" w:cs="Arial"/>
        </w:rPr>
      </w:pPr>
    </w:p>
    <w:p w:rsidR="00432356" w:rsidRDefault="00432356" w:rsidP="00EC29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Und das schwedische Inkassounternehmen HOIST betreibt in Deutschland Telefon-Brief</w:t>
      </w:r>
      <w:r w:rsidR="000C6F32">
        <w:rPr>
          <w:rFonts w:ascii="Arial" w:hAnsi="Arial" w:cs="Arial"/>
        </w:rPr>
        <w:t>-Psycho</w:t>
      </w:r>
      <w:r>
        <w:rPr>
          <w:rFonts w:ascii="Arial" w:hAnsi="Arial" w:cs="Arial"/>
        </w:rPr>
        <w:t>terror und Zinswucher, Rechtsbrüche ohne Ende, sie handeln hier nach schwedischem Recht. Die schwedische Mutter, sie unterstützt diese Art von menschenverachtende</w:t>
      </w:r>
      <w:r w:rsidR="000C6F3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Methoden, auf Beschwerden antwortet sie nicht. Es sind einige internationale Verfahren gegen die Führungskräfte von HOIST beantragt, eingeleitet worden.</w:t>
      </w:r>
    </w:p>
    <w:p w:rsidR="00432356" w:rsidRDefault="00000000" w:rsidP="00EC297E">
      <w:pPr>
        <w:spacing w:after="0"/>
        <w:rPr>
          <w:rFonts w:ascii="Arial" w:hAnsi="Arial" w:cs="Arial"/>
        </w:rPr>
      </w:pPr>
      <w:hyperlink r:id="rId4" w:history="1">
        <w:r w:rsidR="00432356">
          <w:rPr>
            <w:rStyle w:val="Hyperlink"/>
          </w:rPr>
          <w:t>Hoist Finance</w:t>
        </w:r>
      </w:hyperlink>
      <w:r w:rsidR="00432356">
        <w:t xml:space="preserve"> </w:t>
      </w:r>
    </w:p>
    <w:sectPr w:rsidR="00432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7E"/>
    <w:rsid w:val="000C6F32"/>
    <w:rsid w:val="00432356"/>
    <w:rsid w:val="004469C9"/>
    <w:rsid w:val="0073438F"/>
    <w:rsid w:val="00A363FB"/>
    <w:rsid w:val="00BB7F48"/>
    <w:rsid w:val="00EB026B"/>
    <w:rsid w:val="00E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B9DE"/>
  <w15:chartTrackingRefBased/>
  <w15:docId w15:val="{32218BB8-8AAB-4250-A7C5-44A2A9B8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3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oistfinan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RRRedaktion</dc:creator>
  <cp:keywords/>
  <dc:description/>
  <cp:lastModifiedBy>Roland Regolien</cp:lastModifiedBy>
  <cp:revision>6</cp:revision>
  <dcterms:created xsi:type="dcterms:W3CDTF">2022-11-14T10:27:00Z</dcterms:created>
  <dcterms:modified xsi:type="dcterms:W3CDTF">2022-11-25T08:23:00Z</dcterms:modified>
</cp:coreProperties>
</file>