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0B8A" w:rsidRPr="00200B8A" w14:paraId="142C2269" w14:textId="77777777" w:rsidTr="00200B8A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B18095D" w14:textId="77777777" w:rsidR="00200B8A" w:rsidRPr="00200B8A" w:rsidRDefault="00200B8A" w:rsidP="00200B8A">
            <w:pPr>
              <w:spacing w:after="0" w:line="324" w:lineRule="atLeast"/>
              <w:outlineLvl w:val="1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  <w:r w:rsidRPr="00200B8A"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  <w:t>Beschwerde bei der EU-Kommission gegen Hinweisgeberschutzgesetz</w:t>
            </w:r>
          </w:p>
        </w:tc>
      </w:tr>
      <w:tr w:rsidR="00200B8A" w:rsidRPr="00200B8A" w14:paraId="4224C43B" w14:textId="77777777" w:rsidTr="00200B8A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75383B80" w14:textId="77777777">
              <w:tc>
                <w:tcPr>
                  <w:tcW w:w="0" w:type="auto"/>
                  <w:vAlign w:val="center"/>
                  <w:hideMark/>
                </w:tcPr>
                <w:p w14:paraId="7C30BFBA" w14:textId="77777777" w:rsidR="00200B8A" w:rsidRPr="00200B8A" w:rsidRDefault="00200B8A" w:rsidP="00200B8A">
                  <w:pPr>
                    <w:spacing w:after="240" w:line="23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Mit dem am 2. Juli in Kraft getretenem </w:t>
                  </w:r>
                  <w:hyperlink r:id="rId5" w:tgtFrame="_blank" w:history="1">
                    <w:r w:rsidRPr="00200B8A">
                      <w:rPr>
                        <w:rFonts w:ascii="Arial" w:eastAsia="Times New Roman" w:hAnsi="Arial" w:cs="Arial"/>
                        <w:color w:val="873ED9"/>
                        <w:sz w:val="20"/>
                        <w:szCs w:val="20"/>
                        <w:u w:val="single"/>
                        <w:lang w:eastAsia="de-DE"/>
                      </w:rPr>
                      <w:t>Hinweisgeberschutzgesetz</w:t>
                    </w:r>
                  </w:hyperlink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 (</w:t>
                  </w:r>
                  <w:proofErr w:type="spellStart"/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HinSchG</w:t>
                  </w:r>
                  <w:proofErr w:type="spellEnd"/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) hat die Bundesrepublik Deutschland die </w:t>
                  </w:r>
                  <w:hyperlink r:id="rId6" w:tgtFrame="_blank" w:history="1">
                    <w:r w:rsidRPr="00200B8A">
                      <w:rPr>
                        <w:rFonts w:ascii="Arial" w:eastAsia="Times New Roman" w:hAnsi="Arial" w:cs="Arial"/>
                        <w:color w:val="873ED9"/>
                        <w:sz w:val="20"/>
                        <w:szCs w:val="20"/>
                        <w:u w:val="single"/>
                        <w:lang w:eastAsia="de-DE"/>
                      </w:rPr>
                      <w:t>EU-Hinweisgeberschutz-Richtlinie</w:t>
                    </w:r>
                  </w:hyperlink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 in nationales Recht umgesetzt. Das Gesetz verstößt in 12 Punkten gegen die Vorgaben der EU-Richtlinie und insoweit überwiegend auch gegen Art.11 EU-Charta der Grundrechte (Freiheit der Meinungsäußerung und Informationsfreiheit). Whistleblower-Netzwerk (WBN) hat daher eine Beschwerde bei der Europäischen Kommission eingereicht.</w:t>
                  </w:r>
                </w:p>
              </w:tc>
            </w:tr>
          </w:tbl>
          <w:p w14:paraId="094FA44D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02488974" w14:textId="77777777">
              <w:tc>
                <w:tcPr>
                  <w:tcW w:w="0" w:type="auto"/>
                  <w:vAlign w:val="center"/>
                  <w:hideMark/>
                </w:tcPr>
                <w:p w14:paraId="4F5EC8C2" w14:textId="77777777" w:rsidR="00200B8A" w:rsidRPr="00200B8A" w:rsidRDefault="00200B8A" w:rsidP="00200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de-DE"/>
                    </w:rPr>
                  </w:pPr>
                </w:p>
              </w:tc>
            </w:tr>
          </w:tbl>
          <w:p w14:paraId="33CDEBDA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420112C9" w14:textId="77777777">
              <w:tc>
                <w:tcPr>
                  <w:tcW w:w="0" w:type="auto"/>
                  <w:vAlign w:val="center"/>
                  <w:hideMark/>
                </w:tcPr>
                <w:p w14:paraId="7DDDD353" w14:textId="77777777" w:rsidR="00200B8A" w:rsidRPr="00200B8A" w:rsidRDefault="00200B8A" w:rsidP="00200B8A">
                  <w:pPr>
                    <w:spacing w:after="240" w:line="23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Die Europäische Kommission prüft die Beschwerde und entscheidet, ob sie gegen Deutschland ein Vertragsverletzungsverfahren einleitet. Bereits seit Anfang 2022 läuft ein Vertragsverletzungsverfahren und seit März 2023 eine </w:t>
                  </w:r>
                  <w:hyperlink r:id="rId7" w:tgtFrame="_blank" w:history="1">
                    <w:r w:rsidRPr="00200B8A">
                      <w:rPr>
                        <w:rFonts w:ascii="Arial" w:eastAsia="Times New Roman" w:hAnsi="Arial" w:cs="Arial"/>
                        <w:color w:val="873ED9"/>
                        <w:sz w:val="20"/>
                        <w:szCs w:val="20"/>
                        <w:u w:val="single"/>
                        <w:lang w:eastAsia="de-DE"/>
                      </w:rPr>
                      <w:t>Klage</w:t>
                    </w:r>
                  </w:hyperlink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 gegen Deutschland, weil die Hinweisgeberschutz-Richtlinie nicht fristgerecht zum 17. Dezember 2021 umgesetzt worden war.</w:t>
                  </w:r>
                </w:p>
              </w:tc>
            </w:tr>
          </w:tbl>
          <w:p w14:paraId="3E3A77C5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11D07FCB" w14:textId="77777777">
              <w:tc>
                <w:tcPr>
                  <w:tcW w:w="0" w:type="auto"/>
                  <w:vAlign w:val="center"/>
                  <w:hideMark/>
                </w:tcPr>
                <w:p w14:paraId="641196BB" w14:textId="77777777" w:rsidR="00200B8A" w:rsidRPr="00200B8A" w:rsidRDefault="00200B8A" w:rsidP="00200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de-DE"/>
                    </w:rPr>
                  </w:pPr>
                </w:p>
              </w:tc>
            </w:tr>
          </w:tbl>
          <w:p w14:paraId="06C34BE4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6409FC85" w14:textId="77777777">
              <w:tc>
                <w:tcPr>
                  <w:tcW w:w="0" w:type="auto"/>
                  <w:vAlign w:val="center"/>
                  <w:hideMark/>
                </w:tcPr>
                <w:p w14:paraId="0D4325B3" w14:textId="77777777" w:rsidR="00200B8A" w:rsidRPr="00200B8A" w:rsidRDefault="00200B8A" w:rsidP="00200B8A">
                  <w:pPr>
                    <w:spacing w:after="0" w:line="23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In seiner </w:t>
                  </w:r>
                  <w:hyperlink r:id="rId8" w:tgtFrame="_blank" w:history="1">
                    <w:r w:rsidRPr="00200B8A">
                      <w:rPr>
                        <w:rFonts w:ascii="Arial" w:eastAsia="Times New Roman" w:hAnsi="Arial" w:cs="Arial"/>
                        <w:b/>
                        <w:bCs/>
                        <w:color w:val="873ED9"/>
                        <w:sz w:val="20"/>
                        <w:szCs w:val="20"/>
                        <w:u w:val="single"/>
                        <w:lang w:eastAsia="de-DE"/>
                      </w:rPr>
                      <w:t>Beschwerde</w:t>
                    </w:r>
                  </w:hyperlink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 hat WBN u.a. auf folgende Umsetzungsmängel hingewiesen:</w:t>
                  </w:r>
                </w:p>
              </w:tc>
            </w:tr>
          </w:tbl>
          <w:p w14:paraId="6E2978DE" w14:textId="77777777" w:rsidR="00200B8A" w:rsidRPr="00200B8A" w:rsidRDefault="00200B8A" w:rsidP="00200B8A">
            <w:pPr>
              <w:numPr>
                <w:ilvl w:val="0"/>
                <w:numId w:val="1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00B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Offenlegung</w:t>
            </w:r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: Das Hinweisgeberschutzgesetz enthält ein Verbot der Offenlegung unrichtiger Informationen, </w:t>
            </w:r>
            <w:proofErr w:type="gramStart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das</w:t>
            </w:r>
            <w:proofErr w:type="gramEnd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die Schutzvoraussetzungen der Richtlinie nicht berücksichtigt und dadurch abschreckend auf potentielle Whistleblower wirkt.</w:t>
            </w:r>
          </w:p>
          <w:p w14:paraId="480ED4D5" w14:textId="77777777" w:rsidR="00200B8A" w:rsidRPr="00200B8A" w:rsidRDefault="00200B8A" w:rsidP="00200B8A">
            <w:pPr>
              <w:numPr>
                <w:ilvl w:val="0"/>
                <w:numId w:val="1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00B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Offenlegung</w:t>
            </w:r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: Entgegen der Richtlinie dürfen Hinweisgeber Informationen über Verstöße nach dem </w:t>
            </w:r>
            <w:proofErr w:type="spellStart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HinSchG</w:t>
            </w:r>
            <w:proofErr w:type="spellEnd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insbesondere selbst dann nicht offenlegen, wenn nur geringe Aussichten bestehen, dass die zuständigen Ermittlungsbehörden wirksam gegen einen Verstoß vorgehen werden.</w:t>
            </w:r>
          </w:p>
          <w:p w14:paraId="7C07D6B4" w14:textId="77777777" w:rsidR="00200B8A" w:rsidRPr="00200B8A" w:rsidRDefault="00200B8A" w:rsidP="00200B8A">
            <w:pPr>
              <w:numPr>
                <w:ilvl w:val="0"/>
                <w:numId w:val="1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00B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Wahlfreiheit zwischen interner und externer Meldung</w:t>
            </w:r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: Das </w:t>
            </w:r>
            <w:proofErr w:type="spellStart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HinSchG</w:t>
            </w:r>
            <w:proofErr w:type="spellEnd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vermittelt den falschen Eindruck, dass sich Hinweisgeber, die einen Verstoß zuerst intern gemeldet haben, nur dann an staatliche Stellen wenden dürfen, wenn dem Verstoß intern nicht abgeholfen wurde.</w:t>
            </w:r>
          </w:p>
          <w:p w14:paraId="53C4A3BC" w14:textId="77777777" w:rsidR="00200B8A" w:rsidRPr="00200B8A" w:rsidRDefault="00200B8A" w:rsidP="00200B8A">
            <w:pPr>
              <w:numPr>
                <w:ilvl w:val="0"/>
                <w:numId w:val="1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00B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Immaterielle Schäden</w:t>
            </w:r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: Das </w:t>
            </w:r>
            <w:proofErr w:type="spellStart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HinSchG</w:t>
            </w:r>
            <w:proofErr w:type="spellEnd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enthält entgegen der Richtlinie keinen Anspruch auf Ersatz immaterieller Schäden, insbesondere kein Schmerzensgeld wegen der typischerweise schweren psychischen Belastungen für Hinweisgeber.</w:t>
            </w:r>
          </w:p>
          <w:p w14:paraId="39CA5650" w14:textId="77777777" w:rsidR="00200B8A" w:rsidRPr="00200B8A" w:rsidRDefault="00200B8A" w:rsidP="00200B8A">
            <w:pPr>
              <w:numPr>
                <w:ilvl w:val="0"/>
                <w:numId w:val="1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00B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Unvollständige Wiedergutmachung sonstiger Schäden</w:t>
            </w:r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: Obwohl die Hinweisgeberschutz-Richtlinie eine vollständige Wiedergutmachung des erlittenen Schadens vorschreibt, enthält das </w:t>
            </w:r>
            <w:proofErr w:type="spellStart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HinSchG</w:t>
            </w:r>
            <w:proofErr w:type="spellEnd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eine Ausnahmeklausel, wonach ein Verstoß gegen das Verbot von Repressalien keinen Anspruch auf Begründung eines Beschäftigungsverhältnisses, eines Berufsausbildungsverhältnisses oder eines anderen Vertragsverhältnisses oder auf einen beruflichen Aufstieg begründet.</w:t>
            </w:r>
          </w:p>
          <w:p w14:paraId="225E0DEF" w14:textId="77777777" w:rsidR="00200B8A" w:rsidRPr="00200B8A" w:rsidRDefault="00200B8A" w:rsidP="00200B8A">
            <w:pPr>
              <w:numPr>
                <w:ilvl w:val="0"/>
                <w:numId w:val="1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00B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Meldestellen</w:t>
            </w:r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: Laut der EU-Richtlinie müssen alle juristischen Personen des öffentlichen Sektors ab 50 Mitarbeitern eine Meldestelle einrichten. Nach dem </w:t>
            </w:r>
            <w:proofErr w:type="spellStart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HinSchG</w:t>
            </w:r>
            <w:proofErr w:type="spellEnd"/>
            <w:r w:rsidRPr="00200B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wird hingegen der Staat ermächtigt festzulegen, welche Organisationseinheiten Meldestellen einrichten müssen.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52E6096A" w14:textId="77777777">
              <w:tc>
                <w:tcPr>
                  <w:tcW w:w="0" w:type="auto"/>
                  <w:vAlign w:val="center"/>
                  <w:hideMark/>
                </w:tcPr>
                <w:p w14:paraId="0D495F9F" w14:textId="77777777" w:rsidR="00200B8A" w:rsidRPr="00200B8A" w:rsidRDefault="00200B8A" w:rsidP="00200B8A">
                  <w:pPr>
                    <w:spacing w:after="240" w:line="23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WBN appelliert an Bundestag und Bundesregierung, die Beschwerden so rechtzeitig zu bearbeiten, dass es nicht erneut zu einem Vertragsverletzungsverfahren kommt. Darüber hinaus sollte bei der anstehenden Novellierung des </w:t>
                  </w:r>
                  <w:proofErr w:type="spellStart"/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HinSchG</w:t>
                  </w:r>
                  <w:proofErr w:type="spellEnd"/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die Chance ergriffen werden, jene Nachbesserungen aufzugreifen, die der Bundestag in seinem </w:t>
                  </w:r>
                  <w:hyperlink r:id="rId9" w:tgtFrame="_blank" w:history="1">
                    <w:r w:rsidRPr="00200B8A">
                      <w:rPr>
                        <w:rFonts w:ascii="Arial" w:eastAsia="Times New Roman" w:hAnsi="Arial" w:cs="Arial"/>
                        <w:color w:val="873ED9"/>
                        <w:sz w:val="20"/>
                        <w:szCs w:val="20"/>
                        <w:u w:val="single"/>
                        <w:lang w:eastAsia="de-DE"/>
                      </w:rPr>
                      <w:t>Beschluss vom 16.12.2022</w:t>
                    </w:r>
                  </w:hyperlink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 gefordert hat.</w:t>
                  </w:r>
                </w:p>
              </w:tc>
            </w:tr>
          </w:tbl>
          <w:p w14:paraId="5E03F941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54AAA48F" w14:textId="77777777">
              <w:tc>
                <w:tcPr>
                  <w:tcW w:w="0" w:type="auto"/>
                  <w:vAlign w:val="center"/>
                  <w:hideMark/>
                </w:tcPr>
                <w:p w14:paraId="597E12F8" w14:textId="77777777" w:rsidR="00200B8A" w:rsidRPr="00200B8A" w:rsidRDefault="00200B8A" w:rsidP="00200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de-DE"/>
                    </w:rPr>
                  </w:pPr>
                </w:p>
              </w:tc>
            </w:tr>
          </w:tbl>
          <w:p w14:paraId="3177F471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50685681" w14:textId="77777777">
              <w:tc>
                <w:tcPr>
                  <w:tcW w:w="0" w:type="auto"/>
                  <w:vAlign w:val="center"/>
                  <w:hideMark/>
                </w:tcPr>
                <w:p w14:paraId="61E95B81" w14:textId="77777777" w:rsidR="00200B8A" w:rsidRPr="00200B8A" w:rsidRDefault="00200B8A" w:rsidP="00200B8A">
                  <w:pPr>
                    <w:spacing w:after="240" w:line="23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WBN hat bereits im Verlauf des langwierigen Gesetzgebungsprozess für eine Verbesserung des Schutzniveaus für Whistleblower </w:t>
                  </w:r>
                  <w:hyperlink r:id="rId10" w:tgtFrame="_blank" w:history="1">
                    <w:r w:rsidRPr="00200B8A">
                      <w:rPr>
                        <w:rFonts w:ascii="Arial" w:eastAsia="Times New Roman" w:hAnsi="Arial" w:cs="Arial"/>
                        <w:color w:val="873ED9"/>
                        <w:sz w:val="20"/>
                        <w:szCs w:val="20"/>
                        <w:u w:val="single"/>
                        <w:lang w:eastAsia="de-DE"/>
                      </w:rPr>
                      <w:t>plädiert</w:t>
                    </w:r>
                  </w:hyperlink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 Dabei geht es insbesondere um Schutz auch bei Hinweisen auf </w:t>
                  </w:r>
                  <w:r w:rsidRPr="00200B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gravierende Missstände unterhalb der Schwelle eindeutiger Rechtsverstöße</w:t>
                  </w: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, um Erleichterung von </w:t>
                  </w:r>
                  <w:r w:rsidRPr="00200B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 xml:space="preserve">Offenlegungen gegenüber den </w:t>
                  </w:r>
                  <w:r w:rsidRPr="00200B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lastRenderedPageBreak/>
                    <w:t>Medien</w:t>
                  </w: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, </w:t>
                  </w:r>
                  <w:r w:rsidRPr="00200B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Streichung </w:t>
                  </w: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der weitgehend </w:t>
                  </w:r>
                  <w:r w:rsidRPr="00200B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pauschalen Ausnahmen vom Anwendungsbereich</w:t>
                  </w: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 für den staatlichen Geheimschutzbereich und um einen </w:t>
                  </w:r>
                  <w:r w:rsidRPr="00200B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Unterstützungsfonds für Whistleblower</w:t>
                  </w: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</w:tc>
            </w:tr>
          </w:tbl>
          <w:p w14:paraId="4DCB6941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6772C33B" w14:textId="77777777">
              <w:tc>
                <w:tcPr>
                  <w:tcW w:w="0" w:type="auto"/>
                  <w:vAlign w:val="center"/>
                  <w:hideMark/>
                </w:tcPr>
                <w:p w14:paraId="0F91CD04" w14:textId="77777777" w:rsidR="00200B8A" w:rsidRPr="00200B8A" w:rsidRDefault="00200B8A" w:rsidP="00200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de-DE"/>
                    </w:rPr>
                  </w:pPr>
                </w:p>
              </w:tc>
            </w:tr>
          </w:tbl>
          <w:p w14:paraId="38B891CA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5A7BC1F3" w14:textId="77777777">
              <w:tc>
                <w:tcPr>
                  <w:tcW w:w="0" w:type="auto"/>
                  <w:vAlign w:val="center"/>
                  <w:hideMark/>
                </w:tcPr>
                <w:p w14:paraId="1BBDC6AE" w14:textId="77777777" w:rsidR="00200B8A" w:rsidRPr="00200B8A" w:rsidRDefault="00200B8A" w:rsidP="00200B8A">
                  <w:pPr>
                    <w:spacing w:after="240" w:line="23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de-DE"/>
                    </w:rPr>
                    <w:t xml:space="preserve">„Whistleblower umfassend zu </w:t>
                  </w:r>
                  <w:proofErr w:type="gramStart"/>
                  <w:r w:rsidRPr="00200B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de-DE"/>
                    </w:rPr>
                    <w:t>schützen</w:t>
                  </w:r>
                  <w:proofErr w:type="gramEnd"/>
                  <w:r w:rsidRPr="00200B8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de-DE"/>
                    </w:rPr>
                    <w:t xml:space="preserve"> bedeutet auch, die Versorgung der Gesellschaft mit zutreffenden Informationen zu ermöglichen, wo Skandale unter den Teppich gekehrt werden oder etwa künstliche Intelligenz Täuschungen produziert“</w:t>
                  </w: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, sagt Annegret Falter, Vorsitzende von Whistleblower-Netzwerk.</w:t>
                  </w:r>
                </w:p>
              </w:tc>
            </w:tr>
          </w:tbl>
          <w:p w14:paraId="58CC5EB8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3494B6EE" w14:textId="77777777">
              <w:tc>
                <w:tcPr>
                  <w:tcW w:w="0" w:type="auto"/>
                  <w:vAlign w:val="center"/>
                  <w:hideMark/>
                </w:tcPr>
                <w:p w14:paraId="335A91B6" w14:textId="77777777" w:rsidR="00200B8A" w:rsidRPr="00200B8A" w:rsidRDefault="00200B8A" w:rsidP="00200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de-DE"/>
                    </w:rPr>
                  </w:pPr>
                </w:p>
              </w:tc>
            </w:tr>
          </w:tbl>
          <w:p w14:paraId="483A8AB3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3D7F88C6" w14:textId="77777777">
              <w:tc>
                <w:tcPr>
                  <w:tcW w:w="0" w:type="auto"/>
                  <w:vAlign w:val="center"/>
                  <w:hideMark/>
                </w:tcPr>
                <w:p w14:paraId="08E7BE63" w14:textId="77777777" w:rsidR="00200B8A" w:rsidRPr="00200B8A" w:rsidRDefault="00200B8A" w:rsidP="00200B8A">
                  <w:pPr>
                    <w:spacing w:after="240" w:line="234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Die vollständige Beschwerde von Whistleblower-Netzwerk finden Sie hier. Aus formalen Gründen musste sie über das </w:t>
                  </w:r>
                  <w:hyperlink r:id="rId11" w:tgtFrame="_blank" w:history="1">
                    <w:r w:rsidRPr="00200B8A">
                      <w:rPr>
                        <w:rFonts w:ascii="Arial" w:eastAsia="Times New Roman" w:hAnsi="Arial" w:cs="Arial"/>
                        <w:color w:val="873ED9"/>
                        <w:sz w:val="20"/>
                        <w:szCs w:val="20"/>
                        <w:u w:val="single"/>
                        <w:lang w:eastAsia="de-DE"/>
                      </w:rPr>
                      <w:t>Beschwerdeformular der Europäischen Kommission</w:t>
                    </w:r>
                  </w:hyperlink>
                  <w:r w:rsidRPr="00200B8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 eingereicht und in eine Rahmenbeschwerde und zwölf Einzelbeschwerden aufgeteilt werden.</w:t>
                  </w:r>
                </w:p>
              </w:tc>
            </w:tr>
          </w:tbl>
          <w:p w14:paraId="60AEDF3B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12566EC4" w14:textId="77777777">
              <w:tc>
                <w:tcPr>
                  <w:tcW w:w="0" w:type="auto"/>
                  <w:vAlign w:val="center"/>
                  <w:hideMark/>
                </w:tcPr>
                <w:p w14:paraId="2FB6C954" w14:textId="77777777" w:rsidR="00200B8A" w:rsidRPr="00200B8A" w:rsidRDefault="00200B8A" w:rsidP="00200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de-DE"/>
                    </w:rPr>
                  </w:pPr>
                </w:p>
              </w:tc>
            </w:tr>
          </w:tbl>
          <w:p w14:paraId="18E4011D" w14:textId="77777777" w:rsidR="00200B8A" w:rsidRPr="00200B8A" w:rsidRDefault="00200B8A" w:rsidP="00200B8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de-D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00B8A" w:rsidRPr="00200B8A" w14:paraId="19520C89" w14:textId="77777777">
              <w:tc>
                <w:tcPr>
                  <w:tcW w:w="0" w:type="auto"/>
                  <w:vAlign w:val="center"/>
                  <w:hideMark/>
                </w:tcPr>
                <w:p w14:paraId="7E0B79F1" w14:textId="77777777" w:rsidR="00200B8A" w:rsidRPr="00200B8A" w:rsidRDefault="00200B8A" w:rsidP="00200B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200B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Weitere Informationen</w:t>
                  </w:r>
                </w:p>
              </w:tc>
            </w:tr>
          </w:tbl>
          <w:p w14:paraId="7BB7B284" w14:textId="77777777" w:rsidR="00200B8A" w:rsidRPr="00200B8A" w:rsidRDefault="00200B8A" w:rsidP="00200B8A">
            <w:pPr>
              <w:numPr>
                <w:ilvl w:val="0"/>
                <w:numId w:val="2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12" w:tgtFrame="_blank" w:history="1">
              <w:r w:rsidRPr="00200B8A">
                <w:rPr>
                  <w:rFonts w:ascii="Arial" w:eastAsia="Times New Roman" w:hAnsi="Arial" w:cs="Arial"/>
                  <w:color w:val="873ED9"/>
                  <w:sz w:val="20"/>
                  <w:szCs w:val="20"/>
                  <w:u w:val="single"/>
                  <w:lang w:eastAsia="de-DE"/>
                </w:rPr>
                <w:t>WBN-Beschwerde bei der Europäischen Kommission</w:t>
              </w:r>
            </w:hyperlink>
          </w:p>
          <w:p w14:paraId="51486E7C" w14:textId="77777777" w:rsidR="00200B8A" w:rsidRPr="00200B8A" w:rsidRDefault="00200B8A" w:rsidP="00200B8A">
            <w:pPr>
              <w:numPr>
                <w:ilvl w:val="0"/>
                <w:numId w:val="2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13" w:tgtFrame="_blank" w:history="1">
              <w:r w:rsidRPr="00200B8A">
                <w:rPr>
                  <w:rFonts w:ascii="Arial" w:eastAsia="Times New Roman" w:hAnsi="Arial" w:cs="Arial"/>
                  <w:color w:val="873ED9"/>
                  <w:sz w:val="20"/>
                  <w:szCs w:val="20"/>
                  <w:u w:val="single"/>
                  <w:lang w:eastAsia="de-DE"/>
                </w:rPr>
                <w:t>WBN-Pressemitteilung zur Verabschiedung des Hinweisgeberschutzgesetzes (12.05.2023)</w:t>
              </w:r>
            </w:hyperlink>
          </w:p>
          <w:p w14:paraId="62C360B0" w14:textId="77777777" w:rsidR="00200B8A" w:rsidRPr="00200B8A" w:rsidRDefault="00200B8A" w:rsidP="00200B8A">
            <w:pPr>
              <w:numPr>
                <w:ilvl w:val="0"/>
                <w:numId w:val="2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14" w:tgtFrame="_blank" w:history="1">
              <w:r w:rsidRPr="00200B8A">
                <w:rPr>
                  <w:rFonts w:ascii="Arial" w:eastAsia="Times New Roman" w:hAnsi="Arial" w:cs="Arial"/>
                  <w:color w:val="873ED9"/>
                  <w:sz w:val="20"/>
                  <w:szCs w:val="20"/>
                  <w:u w:val="single"/>
                  <w:lang w:eastAsia="de-DE"/>
                </w:rPr>
                <w:t>Klage der Europäischen Kommission gegen die Bundesrepublik Deutschland wegen Nicht-Umsetzung der Hinweisgeberschutz-Richtlinie (14.03.2023)</w:t>
              </w:r>
            </w:hyperlink>
          </w:p>
          <w:p w14:paraId="7C613160" w14:textId="77777777" w:rsidR="00200B8A" w:rsidRPr="00200B8A" w:rsidRDefault="00200B8A" w:rsidP="00200B8A">
            <w:pPr>
              <w:numPr>
                <w:ilvl w:val="0"/>
                <w:numId w:val="2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15" w:tgtFrame="_blank" w:history="1">
              <w:r w:rsidRPr="00200B8A">
                <w:rPr>
                  <w:rFonts w:ascii="Arial" w:eastAsia="Times New Roman" w:hAnsi="Arial" w:cs="Arial"/>
                  <w:color w:val="873ED9"/>
                  <w:sz w:val="20"/>
                  <w:szCs w:val="20"/>
                  <w:u w:val="single"/>
                  <w:lang w:eastAsia="de-DE"/>
                </w:rPr>
                <w:t>Hinweisgeberschutzgesetz (31.05.2023)</w:t>
              </w:r>
            </w:hyperlink>
          </w:p>
          <w:p w14:paraId="37B0303A" w14:textId="77777777" w:rsidR="00200B8A" w:rsidRPr="00200B8A" w:rsidRDefault="00200B8A" w:rsidP="00200B8A">
            <w:pPr>
              <w:numPr>
                <w:ilvl w:val="0"/>
                <w:numId w:val="2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16" w:tgtFrame="_blank" w:history="1">
              <w:r w:rsidRPr="00200B8A">
                <w:rPr>
                  <w:rFonts w:ascii="Arial" w:eastAsia="Times New Roman" w:hAnsi="Arial" w:cs="Arial"/>
                  <w:color w:val="873ED9"/>
                  <w:sz w:val="20"/>
                  <w:szCs w:val="20"/>
                  <w:u w:val="single"/>
                  <w:lang w:eastAsia="de-DE"/>
                </w:rPr>
                <w:t>WBN-Pressemitteilung zur Einleitung eines Vertragsverletzungsverfahrens (11.02.2022)</w:t>
              </w:r>
            </w:hyperlink>
          </w:p>
          <w:p w14:paraId="7D3700C0" w14:textId="77777777" w:rsidR="00200B8A" w:rsidRPr="00200B8A" w:rsidRDefault="00200B8A" w:rsidP="00200B8A">
            <w:pPr>
              <w:numPr>
                <w:ilvl w:val="0"/>
                <w:numId w:val="2"/>
              </w:numPr>
              <w:spacing w:before="100" w:beforeAutospacing="1" w:after="15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17" w:tgtFrame="_blank" w:history="1">
              <w:r w:rsidRPr="00200B8A">
                <w:rPr>
                  <w:rFonts w:ascii="Arial" w:eastAsia="Times New Roman" w:hAnsi="Arial" w:cs="Arial"/>
                  <w:color w:val="873ED9"/>
                  <w:sz w:val="20"/>
                  <w:szCs w:val="20"/>
                  <w:u w:val="single"/>
                  <w:lang w:eastAsia="de-DE"/>
                </w:rPr>
                <w:t>EU-Hinweisgeberschutz-Richtlinie (23.10.2019)</w:t>
              </w:r>
            </w:hyperlink>
          </w:p>
        </w:tc>
      </w:tr>
    </w:tbl>
    <w:p w14:paraId="117CF8E6" w14:textId="77777777" w:rsidR="00957C5B" w:rsidRDefault="00957C5B"/>
    <w:sectPr w:rsidR="00957C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3190"/>
    <w:multiLevelType w:val="multilevel"/>
    <w:tmpl w:val="1C58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46E4B"/>
    <w:multiLevelType w:val="multilevel"/>
    <w:tmpl w:val="0A5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819472">
    <w:abstractNumId w:val="0"/>
  </w:num>
  <w:num w:numId="2" w16cid:durableId="66770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8A"/>
    <w:rsid w:val="00153D80"/>
    <w:rsid w:val="00200B8A"/>
    <w:rsid w:val="00605EC1"/>
    <w:rsid w:val="00957C5B"/>
    <w:rsid w:val="00A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07AA"/>
  <w15:chartTrackingRefBased/>
  <w15:docId w15:val="{A457FD61-79DA-404D-B3C5-EED2966A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stleblower-net.de/?mailpoet_router&amp;endpoint=track&amp;action=click&amp;data=WyI4MTkiLCIxMzdzcG9oYXB2bjRza2c0bzA4c2N3bzRjb3M0NGdzNCIsIjE4NyIsIjIxYmZiYWZmNmYyMSIsZmFsc2Vd" TargetMode="External"/><Relationship Id="rId13" Type="http://schemas.openxmlformats.org/officeDocument/2006/relationships/hyperlink" Target="https://www.whistleblower-net.de/?mailpoet_router&amp;endpoint=track&amp;action=click&amp;data=WyI4MTkiLCIxMzdzcG9oYXB2bjRza2c0bzA4c2N3bzRjb3M0NGdzNCIsIjE4NyIsIjBjZDdiNDY4MzA3NSIsZmFsc2V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istleblower-net.de/?mailpoet_router&amp;endpoint=track&amp;action=click&amp;data=WyI4MTkiLCIxMzdzcG9oYXB2bjRza2c0bzA4c2N3bzRjb3M0NGdzNCIsIjE4NyIsImY2YWFhMDU4MzUzMiIsZmFsc2Vd" TargetMode="External"/><Relationship Id="rId12" Type="http://schemas.openxmlformats.org/officeDocument/2006/relationships/hyperlink" Target="https://www.whistleblower-net.de/?mailpoet_router&amp;endpoint=track&amp;action=click&amp;data=WyI4MTkiLCIxMzdzcG9oYXB2bjRza2c0bzA4c2N3bzRjb3M0NGdzNCIsIjE4NyIsIjIxYmZiYWZmNmYyMSIsZmFsc2Vd" TargetMode="External"/><Relationship Id="rId17" Type="http://schemas.openxmlformats.org/officeDocument/2006/relationships/hyperlink" Target="https://www.whistleblower-net.de/?mailpoet_router&amp;endpoint=track&amp;action=click&amp;data=WyI4MTkiLCIxMzdzcG9oYXB2bjRza2c0bzA4c2N3bzRjb3M0NGdzNCIsIjE4NyIsIjRkNTg0MjkxYzgzZiIsZmFsc2V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istleblower-net.de/?mailpoet_router&amp;endpoint=track&amp;action=click&amp;data=WyI4MTkiLCIxMzdzcG9oYXB2bjRza2c0bzA4c2N3bzRjb3M0NGdzNCIsIjE4NyIsImI0NzM2ZGM2OTRjYSIsZmFsc2V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histleblower-net.de/?mailpoet_router&amp;endpoint=track&amp;action=click&amp;data=WyI4MTkiLCIxMzdzcG9oYXB2bjRza2c0bzA4c2N3bzRjb3M0NGdzNCIsIjE4NyIsIjRkNTg0MjkxYzgzZiIsZmFsc2Vd" TargetMode="External"/><Relationship Id="rId11" Type="http://schemas.openxmlformats.org/officeDocument/2006/relationships/hyperlink" Target="https://www.whistleblower-net.de/?mailpoet_router&amp;endpoint=track&amp;action=click&amp;data=WyI4MTkiLCIxMzdzcG9oYXB2bjRza2c0bzA4c2N3bzRjb3M0NGdzNCIsIjE4NyIsImQ2Mjg1MTUwNjQ1MCIsZmFsc2Vd" TargetMode="External"/><Relationship Id="rId5" Type="http://schemas.openxmlformats.org/officeDocument/2006/relationships/hyperlink" Target="https://www.whistleblower-net.de/?mailpoet_router&amp;endpoint=track&amp;action=click&amp;data=WyI4MTkiLCIxMzdzcG9oYXB2bjRza2c0bzA4c2N3bzRjb3M0NGdzNCIsIjE4NyIsIjgzOWRlNjJhNzgwNyIsZmFsc2Vd" TargetMode="External"/><Relationship Id="rId15" Type="http://schemas.openxmlformats.org/officeDocument/2006/relationships/hyperlink" Target="https://www.whistleblower-net.de/?mailpoet_router&amp;endpoint=track&amp;action=click&amp;data=WyI4MTkiLCIxMzdzcG9oYXB2bjRza2c0bzA4c2N3bzRjb3M0NGdzNCIsIjE4NyIsIjgzOWRlNjJhNzgwNyIsZmFsc2Vd" TargetMode="External"/><Relationship Id="rId10" Type="http://schemas.openxmlformats.org/officeDocument/2006/relationships/hyperlink" Target="https://www.whistleblower-net.de/?mailpoet_router&amp;endpoint=track&amp;action=click&amp;data=WyI4MTkiLCIxMzdzcG9oYXB2bjRza2c0bzA4c2N3bzRjb3M0NGdzNCIsIjE4NyIsIjBjZDdiNDY4MzA3NSIsZmFsc2V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histleblower-net.de/?mailpoet_router&amp;endpoint=track&amp;action=click&amp;data=WyI4MTkiLCIxMzdzcG9oYXB2bjRza2c0bzA4c2N3bzRjb3M0NGdzNCIsIjE4NyIsIjhiZGNkMzJlYjVkYyIsZmFsc2Vd" TargetMode="External"/><Relationship Id="rId14" Type="http://schemas.openxmlformats.org/officeDocument/2006/relationships/hyperlink" Target="https://www.whistleblower-net.de/?mailpoet_router&amp;endpoint=track&amp;action=click&amp;data=WyI4MTkiLCIxMzdzcG9oYXB2bjRza2c0bzA4c2N3bzRjb3M0NGdzNCIsIjE4NyIsImY2YWFhMDU4MzUzMiIsZmFsc2V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Regolien</dc:creator>
  <cp:keywords/>
  <dc:description/>
  <cp:lastModifiedBy>Roland Regolien</cp:lastModifiedBy>
  <cp:revision>1</cp:revision>
  <dcterms:created xsi:type="dcterms:W3CDTF">2023-09-26T13:54:00Z</dcterms:created>
  <dcterms:modified xsi:type="dcterms:W3CDTF">2023-09-26T13:55:00Z</dcterms:modified>
</cp:coreProperties>
</file>